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77D2" w14:textId="7BF7954F" w:rsidR="00B52A31" w:rsidRDefault="00B52A31">
      <w:pPr>
        <w:spacing w:line="276" w:lineRule="auto"/>
        <w:jc w:val="left"/>
      </w:pPr>
      <w:bookmarkStart w:id="0" w:name="_Toc31228341"/>
      <w:bookmarkStart w:id="1" w:name="_Toc31983271"/>
    </w:p>
    <w:sdt>
      <w:sdtPr>
        <w:id w:val="-1439526646"/>
        <w:docPartObj>
          <w:docPartGallery w:val="Cover Pages"/>
          <w:docPartUnique/>
        </w:docPartObj>
      </w:sdtPr>
      <w:sdtEndPr>
        <w:rPr>
          <w:i/>
        </w:rPr>
      </w:sdtEndPr>
      <w:sdtContent>
        <w:p w14:paraId="15B15FBC" w14:textId="60310F00" w:rsidR="00B52A31" w:rsidRDefault="00B52A31" w:rsidP="00E816D0">
          <w:pPr>
            <w:spacing w:line="276" w:lineRule="auto"/>
          </w:pPr>
          <w:r>
            <w:rPr>
              <w:noProof/>
              <w:lang w:eastAsia="en-GB"/>
            </w:rPr>
            <mc:AlternateContent>
              <mc:Choice Requires="wps">
                <w:drawing>
                  <wp:anchor distT="0" distB="0" distL="114300" distR="114300" simplePos="0" relativeHeight="251659264" behindDoc="0" locked="1" layoutInCell="1" allowOverlap="1" wp14:anchorId="6907FAA1" wp14:editId="7226EFD7">
                    <wp:simplePos x="0" y="0"/>
                    <wp:positionH relativeFrom="column">
                      <wp:posOffset>-60960</wp:posOffset>
                    </wp:positionH>
                    <wp:positionV relativeFrom="page">
                      <wp:posOffset>489585</wp:posOffset>
                    </wp:positionV>
                    <wp:extent cx="6019165" cy="9982200"/>
                    <wp:effectExtent l="0" t="0" r="635" b="0"/>
                    <wp:wrapNone/>
                    <wp:docPr id="1" name="Text Box 1"/>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164AE25A" w14:textId="77777777" w:rsidR="00576F35" w:rsidRDefault="00576F35" w:rsidP="00E816D0">
                                <w:pPr>
                                  <w:pStyle w:val="CoverNormal"/>
                                  <w:spacing w:after="240"/>
                                  <w:jc w:val="center"/>
                                </w:pPr>
                              </w:p>
                              <w:p w14:paraId="51DA600D" w14:textId="77777777" w:rsidR="00576F35" w:rsidRDefault="00576F35" w:rsidP="00E816D0">
                                <w:pPr>
                                  <w:pStyle w:val="CoverNormal"/>
                                  <w:spacing w:after="240"/>
                                  <w:jc w:val="center"/>
                                </w:pPr>
                              </w:p>
                              <w:p w14:paraId="41A3A5E5" w14:textId="563422E8" w:rsidR="00576F35" w:rsidRDefault="000A7ECF" w:rsidP="00F72BA3">
                                <w:pPr>
                                  <w:pStyle w:val="CoverSeriesTitlePublication"/>
                                </w:pPr>
                                <w:sdt>
                                  <w:sdtPr>
                                    <w:alias w:val="Series Title"/>
                                    <w:tag w:val="Series Title"/>
                                    <w:id w:val="-855420674"/>
                                    <w:showingPlcHdr/>
                                  </w:sdtPr>
                                  <w:sdtEndPr/>
                                  <w:sdtContent>
                                    <w:r w:rsidR="00576F35">
                                      <w:t xml:space="preserve">     </w:t>
                                    </w:r>
                                  </w:sdtContent>
                                </w:sdt>
                              </w:p>
                              <w:p w14:paraId="3E200D7F" w14:textId="77777777" w:rsidR="00576F35" w:rsidRDefault="00576F35" w:rsidP="00E816D0">
                                <w:pPr>
                                  <w:pStyle w:val="CoverNormal"/>
                                  <w:jc w:val="center"/>
                                </w:pPr>
                              </w:p>
                              <w:p w14:paraId="6EB289AA" w14:textId="77777777" w:rsidR="00576F35" w:rsidRDefault="00576F35" w:rsidP="00E816D0">
                                <w:pPr>
                                  <w:pStyle w:val="CoverNormal"/>
                                  <w:jc w:val="center"/>
                                </w:pPr>
                              </w:p>
                              <w:p w14:paraId="5258385E" w14:textId="77777777" w:rsidR="00576F35" w:rsidRDefault="00576F35" w:rsidP="00E816D0">
                                <w:pPr>
                                  <w:pStyle w:val="CoverNormal"/>
                                  <w:jc w:val="center"/>
                                </w:pPr>
                              </w:p>
                              <w:p w14:paraId="1D77407F" w14:textId="77777777" w:rsidR="00576F35" w:rsidRDefault="00576F35" w:rsidP="00E816D0">
                                <w:pPr>
                                  <w:pStyle w:val="CoverNormal"/>
                                  <w:jc w:val="center"/>
                                </w:pPr>
                              </w:p>
                              <w:p w14:paraId="02F21385" w14:textId="77777777" w:rsidR="00576F35" w:rsidRDefault="00576F35" w:rsidP="00E816D0">
                                <w:pPr>
                                  <w:pStyle w:val="CoverNormal"/>
                                  <w:jc w:val="center"/>
                                </w:pPr>
                              </w:p>
                              <w:p w14:paraId="1BE37E74" w14:textId="77777777" w:rsidR="00576F35" w:rsidRPr="008E334D" w:rsidRDefault="00576F35" w:rsidP="00E816D0">
                                <w:pPr>
                                  <w:pStyle w:val="CoverNormal"/>
                                  <w:jc w:val="center"/>
                                </w:pPr>
                              </w:p>
                              <w:p w14:paraId="0176F745" w14:textId="46D50585" w:rsidR="00576F35" w:rsidRPr="008E334D" w:rsidRDefault="000A7ECF" w:rsidP="00E816D0">
                                <w:pPr>
                                  <w:pStyle w:val="CoverTitlePublication"/>
                                  <w:spacing w:after="800"/>
                                </w:pPr>
                                <w:sdt>
                                  <w:sdtPr>
                                    <w:alias w:val="Document Title"/>
                                    <w:tag w:val="txtDocTitle"/>
                                    <w:id w:val="-1963103887"/>
                                    <w:dataBinding w:prefixMappings="xmlns:ns0='http://purl.org/dc/elements/1.1/' xmlns:ns1='http://schemas.openxmlformats.org/package/2006/metadata/core-properties' " w:xpath="/ns1:coreProperties[1]/ns0:title[1]" w:storeItemID="{6C3C8BC8-F283-45AE-878A-BAB7291924A1}"/>
                                    <w:text w:multiLine="1"/>
                                  </w:sdtPr>
                                  <w:sdtEndPr/>
                                  <w:sdtContent>
                                    <w:r w:rsidR="00576F35">
                                      <w:t>Investment Perspectives in Eastern Partner Countries</w:t>
                                    </w:r>
                                  </w:sdtContent>
                                </w:sdt>
                              </w:p>
                              <w:p w14:paraId="4BF8D55A" w14:textId="2BFF3527" w:rsidR="00576F35" w:rsidRPr="00E92039" w:rsidRDefault="000A7ECF" w:rsidP="00E816D0">
                                <w:pPr>
                                  <w:pStyle w:val="CoverSubtitlePublication"/>
                                </w:pP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576F35">
                                      <w:t xml:space="preserve">     </w:t>
                                    </w:r>
                                  </w:sdtContent>
                                </w:sdt>
                              </w:p>
                              <w:p w14:paraId="241DBBE2" w14:textId="77777777" w:rsidR="00576F35" w:rsidRDefault="00576F35" w:rsidP="00E816D0">
                                <w:pPr>
                                  <w:pStyle w:val="CoverNormal"/>
                                  <w:jc w:val="center"/>
                                </w:pPr>
                              </w:p>
                              <w:p w14:paraId="23BD9868" w14:textId="77777777" w:rsidR="00576F35" w:rsidRDefault="00576F35" w:rsidP="00E816D0">
                                <w:pPr>
                                  <w:pStyle w:val="CoverNormal"/>
                                  <w:jc w:val="center"/>
                                </w:pPr>
                              </w:p>
                              <w:p w14:paraId="3B8C9650" w14:textId="77777777" w:rsidR="00576F35" w:rsidRDefault="00576F35" w:rsidP="00E816D0">
                                <w:pPr>
                                  <w:pStyle w:val="CoverNormal"/>
                                  <w:jc w:val="center"/>
                                </w:pPr>
                              </w:p>
                              <w:p w14:paraId="1B6F4E4F" w14:textId="77777777" w:rsidR="00576F35" w:rsidRDefault="00576F35" w:rsidP="00E816D0">
                                <w:pPr>
                                  <w:pStyle w:val="CoverNormal"/>
                                  <w:jc w:val="center"/>
                                </w:pPr>
                              </w:p>
                              <w:p w14:paraId="181BFEF9" w14:textId="77777777" w:rsidR="00576F35" w:rsidRDefault="00576F35" w:rsidP="00E816D0">
                                <w:pPr>
                                  <w:pStyle w:val="CoverNormal"/>
                                  <w:jc w:val="center"/>
                                </w:pPr>
                              </w:p>
                              <w:p w14:paraId="05115ADF" w14:textId="77777777" w:rsidR="00576F35" w:rsidRDefault="00576F35" w:rsidP="00E816D0">
                                <w:pPr>
                                  <w:pStyle w:val="CoverNormal"/>
                                  <w:jc w:val="center"/>
                                </w:pPr>
                              </w:p>
                              <w:p w14:paraId="05D7CA46" w14:textId="77777777" w:rsidR="00576F35" w:rsidRDefault="00576F35" w:rsidP="00E816D0">
                                <w:pPr>
                                  <w:pStyle w:val="CoverNormal"/>
                                  <w:jc w:val="center"/>
                                </w:pPr>
                              </w:p>
                              <w:p w14:paraId="427787D1" w14:textId="77777777" w:rsidR="00576F35" w:rsidRDefault="00576F35" w:rsidP="00E816D0">
                                <w:pPr>
                                  <w:pStyle w:val="CoverNormal"/>
                                  <w:jc w:val="center"/>
                                </w:pPr>
                              </w:p>
                              <w:p w14:paraId="7EA23317" w14:textId="77777777" w:rsidR="00576F35" w:rsidRDefault="00576F35" w:rsidP="00E816D0">
                                <w:pPr>
                                  <w:pStyle w:val="CoverNormal"/>
                                  <w:jc w:val="center"/>
                                </w:pPr>
                              </w:p>
                              <w:p w14:paraId="2F8EF537" w14:textId="77777777" w:rsidR="00576F35" w:rsidRDefault="00576F35" w:rsidP="00E816D0">
                                <w:pPr>
                                  <w:pStyle w:val="CoverNormal"/>
                                  <w:jc w:val="center"/>
                                </w:pPr>
                              </w:p>
                              <w:p w14:paraId="1A61FC33" w14:textId="77777777" w:rsidR="00576F35" w:rsidRDefault="00576F35" w:rsidP="00E816D0">
                                <w:pPr>
                                  <w:pStyle w:val="CoverNormal"/>
                                  <w:jc w:val="center"/>
                                </w:pPr>
                              </w:p>
                              <w:p w14:paraId="3C14F35D" w14:textId="77777777" w:rsidR="00576F35" w:rsidRDefault="00576F35" w:rsidP="00E816D0">
                                <w:pPr>
                                  <w:pStyle w:val="CoverNormal"/>
                                  <w:jc w:val="center"/>
                                </w:pPr>
                              </w:p>
                              <w:p w14:paraId="0AC91187" w14:textId="77777777" w:rsidR="00576F35" w:rsidRDefault="00576F35" w:rsidP="00E816D0">
                                <w:pPr>
                                  <w:pStyle w:val="CoverNormal"/>
                                  <w:jc w:val="center"/>
                                </w:pPr>
                              </w:p>
                              <w:p w14:paraId="5EB21A3E" w14:textId="77777777" w:rsidR="00576F35" w:rsidRDefault="00576F35" w:rsidP="00E816D0">
                                <w:pPr>
                                  <w:pStyle w:val="CoverNormal"/>
                                  <w:jc w:val="center"/>
                                </w:pPr>
                              </w:p>
                              <w:p w14:paraId="71A5B12F" w14:textId="77777777" w:rsidR="00576F35" w:rsidRDefault="00576F35" w:rsidP="00E816D0">
                                <w:pPr>
                                  <w:pStyle w:val="CoverNormal"/>
                                  <w:jc w:val="center"/>
                                </w:pPr>
                              </w:p>
                              <w:p w14:paraId="7C8B5128" w14:textId="77777777" w:rsidR="00576F35" w:rsidRDefault="00576F35" w:rsidP="00E816D0">
                                <w:pPr>
                                  <w:pStyle w:val="CoverNormal"/>
                                  <w:jc w:val="center"/>
                                </w:pPr>
                              </w:p>
                              <w:p w14:paraId="07B559C1" w14:textId="77777777" w:rsidR="00576F35" w:rsidRDefault="00576F35" w:rsidP="00E816D0">
                                <w:pPr>
                                  <w:pStyle w:val="CoverNormal"/>
                                  <w:jc w:val="center"/>
                                </w:pPr>
                              </w:p>
                              <w:p w14:paraId="5340FC15" w14:textId="77777777" w:rsidR="00576F35" w:rsidRDefault="00576F35" w:rsidP="00E816D0">
                                <w:pPr>
                                  <w:pStyle w:val="CoverNormal"/>
                                  <w:jc w:val="center"/>
                                </w:pPr>
                              </w:p>
                              <w:p w14:paraId="7F138997" w14:textId="77777777" w:rsidR="00576F35" w:rsidRDefault="00576F35" w:rsidP="00E816D0">
                                <w:pPr>
                                  <w:pStyle w:val="CoverNormal"/>
                                  <w:jc w:val="center"/>
                                </w:pPr>
                              </w:p>
                              <w:p w14:paraId="2B926F80" w14:textId="77777777" w:rsidR="00576F35" w:rsidRDefault="00576F35" w:rsidP="00E816D0">
                                <w:pPr>
                                  <w:pStyle w:val="CoverNormal"/>
                                  <w:jc w:val="center"/>
                                </w:pPr>
                              </w:p>
                              <w:p w14:paraId="2BCC4EE7" w14:textId="77777777" w:rsidR="00576F35" w:rsidRDefault="00576F35" w:rsidP="00E816D0">
                                <w:pPr>
                                  <w:pStyle w:val="CoverNormal"/>
                                  <w:jc w:val="center"/>
                                </w:pPr>
                              </w:p>
                              <w:p w14:paraId="57FBBFBF" w14:textId="77777777" w:rsidR="00576F35" w:rsidRDefault="00576F35" w:rsidP="00E816D0">
                                <w:pPr>
                                  <w:pStyle w:val="CoverNormal"/>
                                  <w:jc w:val="center"/>
                                </w:pPr>
                              </w:p>
                              <w:p w14:paraId="6FF7D554" w14:textId="77777777" w:rsidR="00576F35" w:rsidRDefault="00576F35" w:rsidP="00E816D0">
                                <w:pPr>
                                  <w:pStyle w:val="CoverNormal"/>
                                  <w:jc w:val="center"/>
                                </w:pPr>
                              </w:p>
                              <w:p w14:paraId="11BFFAA5" w14:textId="77777777" w:rsidR="00576F35" w:rsidRDefault="00576F35" w:rsidP="00E816D0">
                                <w:pPr>
                                  <w:pStyle w:val="CoverNormal"/>
                                  <w:jc w:val="center"/>
                                </w:pPr>
                              </w:p>
                              <w:p w14:paraId="0CFF3AA0" w14:textId="77777777" w:rsidR="00576F35" w:rsidRDefault="00576F35" w:rsidP="00E816D0">
                                <w:pPr>
                                  <w:pStyle w:val="CoverNormal"/>
                                  <w:jc w:val="center"/>
                                </w:pPr>
                              </w:p>
                              <w:p w14:paraId="3678C5D2" w14:textId="77777777" w:rsidR="00576F35" w:rsidRDefault="00576F35" w:rsidP="00E816D0">
                                <w:pPr>
                                  <w:pStyle w:val="CoverNormal"/>
                                  <w:jc w:val="center"/>
                                </w:pPr>
                              </w:p>
                              <w:p w14:paraId="5249DDE2" w14:textId="77777777" w:rsidR="00576F35" w:rsidRDefault="00576F35" w:rsidP="00E816D0">
                                <w:pPr>
                                  <w:pStyle w:val="CoverNormal"/>
                                  <w:jc w:val="center"/>
                                </w:pPr>
                              </w:p>
                              <w:p w14:paraId="76D203B6" w14:textId="77777777" w:rsidR="00576F35" w:rsidRDefault="00576F35" w:rsidP="00E816D0">
                                <w:pPr>
                                  <w:pStyle w:val="CoverNormal"/>
                                  <w:jc w:val="center"/>
                                </w:pPr>
                              </w:p>
                              <w:p w14:paraId="71E54A6F" w14:textId="77777777" w:rsidR="00576F35" w:rsidRDefault="00576F35" w:rsidP="00E816D0">
                                <w:pPr>
                                  <w:pStyle w:val="CoverNormal"/>
                                  <w:jc w:val="center"/>
                                </w:pPr>
                              </w:p>
                              <w:p w14:paraId="04658521" w14:textId="77777777" w:rsidR="00576F35" w:rsidRDefault="00576F35" w:rsidP="00E816D0">
                                <w:pPr>
                                  <w:pStyle w:val="CoverNormal"/>
                                  <w:jc w:val="center"/>
                                </w:pPr>
                              </w:p>
                              <w:p w14:paraId="45B0FFC1" w14:textId="77777777" w:rsidR="00576F35" w:rsidRDefault="00576F35" w:rsidP="00E816D0">
                                <w:pPr>
                                  <w:pStyle w:val="CoverNormal"/>
                                  <w:jc w:val="center"/>
                                </w:pPr>
                              </w:p>
                              <w:p w14:paraId="325074DE" w14:textId="77777777" w:rsidR="00576F35" w:rsidRDefault="00576F35" w:rsidP="00E816D0">
                                <w:pPr>
                                  <w:pStyle w:val="CoverNormal"/>
                                  <w:jc w:val="center"/>
                                </w:pPr>
                              </w:p>
                              <w:p w14:paraId="53A035C0" w14:textId="77777777" w:rsidR="00576F35" w:rsidRDefault="00576F35" w:rsidP="00E816D0">
                                <w:pPr>
                                  <w:pStyle w:val="CoverNormal"/>
                                  <w:jc w:val="center"/>
                                </w:pPr>
                              </w:p>
                              <w:sdt>
                                <w:sdtPr>
                                  <w:rPr>
                                    <w:noProof/>
                                    <w:lang w:eastAsia="ko-KR"/>
                                  </w:rPr>
                                  <w:alias w:val="OECD logo"/>
                                  <w:tag w:val="imgOECDLogo"/>
                                  <w:id w:val="1328472876"/>
                                  <w:picture/>
                                </w:sdtPr>
                                <w:sdtEndPr/>
                                <w:sdtContent>
                                  <w:p w14:paraId="443ADD11" w14:textId="77777777" w:rsidR="00576F35" w:rsidRDefault="00576F35" w:rsidP="00E816D0">
                                    <w:pPr>
                                      <w:pStyle w:val="CoverNormal"/>
                                      <w:jc w:val="center"/>
                                    </w:pPr>
                                    <w:r>
                                      <w:rPr>
                                        <w:noProof/>
                                        <w:lang w:eastAsia="en-GB"/>
                                      </w:rPr>
                                      <w:drawing>
                                        <wp:inline distT="0" distB="0" distL="0" distR="0" wp14:anchorId="539AE0A2" wp14:editId="77A87C31">
                                          <wp:extent cx="1641361" cy="39256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EndPr/>
                                <w:sdtContent>
                                  <w:p w14:paraId="213FB89C" w14:textId="77777777" w:rsidR="00576F35" w:rsidRDefault="00576F35" w:rsidP="00940871">
                                    <w:pPr>
                                      <w:pStyle w:val="CoverNormal"/>
                                      <w:rPr>
                                        <w:color w:val="FFFFFF" w:themeColor="background1"/>
                                      </w:rPr>
                                    </w:pPr>
                                    <w:r w:rsidRPr="00940871">
                                      <w:rPr>
                                        <w:color w:val="FFFFFF" w:themeColor="background1"/>
                                      </w:rPr>
                                      <w:t>PUBE</w:t>
                                    </w:r>
                                  </w:p>
                                </w:sdtContent>
                              </w:sdt>
                              <w:p w14:paraId="2499ED93" w14:textId="77777777" w:rsidR="00576F35" w:rsidRDefault="00576F35" w:rsidP="00E816D0">
                                <w:pPr>
                                  <w:pStyle w:val="CoverNormal"/>
                                  <w:jc w:val="center"/>
                                </w:pPr>
                              </w:p>
                              <w:p w14:paraId="403BDD05" w14:textId="77777777" w:rsidR="00576F35" w:rsidRPr="00310112" w:rsidRDefault="00576F35" w:rsidP="00E816D0">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7FAA1" id="_x0000_t202" coordsize="21600,21600" o:spt="202" path="m,l,21600r21600,l21600,xe">
                    <v:stroke joinstyle="miter"/>
                    <v:path gradientshapeok="t" o:connecttype="rect"/>
                  </v:shapetype>
                  <v:shape id="Text Box 1"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" fillcolor="white [3212]" stroked="f" strokeweight=".5pt">
                    <v:textbox>
                      <w:txbxContent>
                        <w:p w14:paraId="164AE25A" w14:textId="77777777" w:rsidR="00576F35" w:rsidRDefault="00576F35" w:rsidP="00E816D0">
                          <w:pPr>
                            <w:pStyle w:val="CoverNormal"/>
                            <w:spacing w:after="240"/>
                            <w:jc w:val="center"/>
                          </w:pPr>
                        </w:p>
                        <w:p w14:paraId="51DA600D" w14:textId="77777777" w:rsidR="00576F35" w:rsidRDefault="00576F35" w:rsidP="00E816D0">
                          <w:pPr>
                            <w:pStyle w:val="CoverNormal"/>
                            <w:spacing w:after="240"/>
                            <w:jc w:val="center"/>
                          </w:pPr>
                        </w:p>
                        <w:p w14:paraId="41A3A5E5" w14:textId="563422E8" w:rsidR="00576F35" w:rsidRDefault="00576F35" w:rsidP="00F72BA3">
                          <w:pPr>
                            <w:pStyle w:val="CoverSeriesTitlePublication"/>
                          </w:pPr>
                          <w:sdt>
                            <w:sdtPr>
                              <w:alias w:val="Series Title"/>
                              <w:tag w:val="Series Title"/>
                              <w:id w:val="-855420674"/>
                              <w:showingPlcHdr/>
                            </w:sdtPr>
                            <w:sdtContent>
                              <w:r>
                                <w:t xml:space="preserve">     </w:t>
                              </w:r>
                            </w:sdtContent>
                          </w:sdt>
                        </w:p>
                        <w:p w14:paraId="3E200D7F" w14:textId="77777777" w:rsidR="00576F35" w:rsidRDefault="00576F35" w:rsidP="00E816D0">
                          <w:pPr>
                            <w:pStyle w:val="CoverNormal"/>
                            <w:jc w:val="center"/>
                          </w:pPr>
                        </w:p>
                        <w:p w14:paraId="6EB289AA" w14:textId="77777777" w:rsidR="00576F35" w:rsidRDefault="00576F35" w:rsidP="00E816D0">
                          <w:pPr>
                            <w:pStyle w:val="CoverNormal"/>
                            <w:jc w:val="center"/>
                          </w:pPr>
                        </w:p>
                        <w:p w14:paraId="5258385E" w14:textId="77777777" w:rsidR="00576F35" w:rsidRDefault="00576F35" w:rsidP="00E816D0">
                          <w:pPr>
                            <w:pStyle w:val="CoverNormal"/>
                            <w:jc w:val="center"/>
                          </w:pPr>
                        </w:p>
                        <w:p w14:paraId="1D77407F" w14:textId="77777777" w:rsidR="00576F35" w:rsidRDefault="00576F35" w:rsidP="00E816D0">
                          <w:pPr>
                            <w:pStyle w:val="CoverNormal"/>
                            <w:jc w:val="center"/>
                          </w:pPr>
                        </w:p>
                        <w:p w14:paraId="02F21385" w14:textId="77777777" w:rsidR="00576F35" w:rsidRDefault="00576F35" w:rsidP="00E816D0">
                          <w:pPr>
                            <w:pStyle w:val="CoverNormal"/>
                            <w:jc w:val="center"/>
                          </w:pPr>
                        </w:p>
                        <w:p w14:paraId="1BE37E74" w14:textId="77777777" w:rsidR="00576F35" w:rsidRPr="008E334D" w:rsidRDefault="00576F35" w:rsidP="00E816D0">
                          <w:pPr>
                            <w:pStyle w:val="CoverNormal"/>
                            <w:jc w:val="center"/>
                          </w:pPr>
                        </w:p>
                        <w:p w14:paraId="0176F745" w14:textId="46D50585" w:rsidR="00576F35" w:rsidRPr="008E334D" w:rsidRDefault="00576F35" w:rsidP="00E816D0">
                          <w:pPr>
                            <w:pStyle w:val="CoverTitlePublication"/>
                            <w:spacing w:after="800"/>
                          </w:pPr>
                          <w:sdt>
                            <w:sdtPr>
                              <w:alias w:val="Document Title"/>
                              <w:tag w:val="txtDocTitle"/>
                              <w:id w:val="-1963103887"/>
                              <w:dataBinding w:prefixMappings="xmlns:ns0='http://purl.org/dc/elements/1.1/' xmlns:ns1='http://schemas.openxmlformats.org/package/2006/metadata/core-properties' " w:xpath="/ns1:coreProperties[1]/ns0:title[1]" w:storeItemID="{6C3C8BC8-F283-45AE-878A-BAB7291924A1}"/>
                              <w:text w:multiLine="1"/>
                            </w:sdtPr>
                            <w:sdtContent>
                              <w:r>
                                <w:t>Investment Perspectives in Eastern Partner Countries</w:t>
                              </w:r>
                            </w:sdtContent>
                          </w:sdt>
                        </w:p>
                        <w:p w14:paraId="4BF8D55A" w14:textId="2BFF3527" w:rsidR="00576F35" w:rsidRPr="00E92039" w:rsidRDefault="00576F35" w:rsidP="00E816D0">
                          <w:pPr>
                            <w:pStyle w:val="CoverSubtitlePublication"/>
                          </w:pP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t xml:space="preserve">     </w:t>
                              </w:r>
                            </w:sdtContent>
                          </w:sdt>
                        </w:p>
                        <w:p w14:paraId="241DBBE2" w14:textId="77777777" w:rsidR="00576F35" w:rsidRDefault="00576F35" w:rsidP="00E816D0">
                          <w:pPr>
                            <w:pStyle w:val="CoverNormal"/>
                            <w:jc w:val="center"/>
                          </w:pPr>
                        </w:p>
                        <w:p w14:paraId="23BD9868" w14:textId="77777777" w:rsidR="00576F35" w:rsidRDefault="00576F35" w:rsidP="00E816D0">
                          <w:pPr>
                            <w:pStyle w:val="CoverNormal"/>
                            <w:jc w:val="center"/>
                          </w:pPr>
                        </w:p>
                        <w:p w14:paraId="3B8C9650" w14:textId="77777777" w:rsidR="00576F35" w:rsidRDefault="00576F35" w:rsidP="00E816D0">
                          <w:pPr>
                            <w:pStyle w:val="CoverNormal"/>
                            <w:jc w:val="center"/>
                          </w:pPr>
                        </w:p>
                        <w:p w14:paraId="1B6F4E4F" w14:textId="77777777" w:rsidR="00576F35" w:rsidRDefault="00576F35" w:rsidP="00E816D0">
                          <w:pPr>
                            <w:pStyle w:val="CoverNormal"/>
                            <w:jc w:val="center"/>
                          </w:pPr>
                        </w:p>
                        <w:p w14:paraId="181BFEF9" w14:textId="77777777" w:rsidR="00576F35" w:rsidRDefault="00576F35" w:rsidP="00E816D0">
                          <w:pPr>
                            <w:pStyle w:val="CoverNormal"/>
                            <w:jc w:val="center"/>
                          </w:pPr>
                        </w:p>
                        <w:p w14:paraId="05115ADF" w14:textId="77777777" w:rsidR="00576F35" w:rsidRDefault="00576F35" w:rsidP="00E816D0">
                          <w:pPr>
                            <w:pStyle w:val="CoverNormal"/>
                            <w:jc w:val="center"/>
                          </w:pPr>
                        </w:p>
                        <w:p w14:paraId="05D7CA46" w14:textId="77777777" w:rsidR="00576F35" w:rsidRDefault="00576F35" w:rsidP="00E816D0">
                          <w:pPr>
                            <w:pStyle w:val="CoverNormal"/>
                            <w:jc w:val="center"/>
                          </w:pPr>
                        </w:p>
                        <w:p w14:paraId="427787D1" w14:textId="77777777" w:rsidR="00576F35" w:rsidRDefault="00576F35" w:rsidP="00E816D0">
                          <w:pPr>
                            <w:pStyle w:val="CoverNormal"/>
                            <w:jc w:val="center"/>
                          </w:pPr>
                        </w:p>
                        <w:p w14:paraId="7EA23317" w14:textId="77777777" w:rsidR="00576F35" w:rsidRDefault="00576F35" w:rsidP="00E816D0">
                          <w:pPr>
                            <w:pStyle w:val="CoverNormal"/>
                            <w:jc w:val="center"/>
                          </w:pPr>
                        </w:p>
                        <w:p w14:paraId="2F8EF537" w14:textId="77777777" w:rsidR="00576F35" w:rsidRDefault="00576F35" w:rsidP="00E816D0">
                          <w:pPr>
                            <w:pStyle w:val="CoverNormal"/>
                            <w:jc w:val="center"/>
                          </w:pPr>
                        </w:p>
                        <w:p w14:paraId="1A61FC33" w14:textId="77777777" w:rsidR="00576F35" w:rsidRDefault="00576F35" w:rsidP="00E816D0">
                          <w:pPr>
                            <w:pStyle w:val="CoverNormal"/>
                            <w:jc w:val="center"/>
                          </w:pPr>
                        </w:p>
                        <w:p w14:paraId="3C14F35D" w14:textId="77777777" w:rsidR="00576F35" w:rsidRDefault="00576F35" w:rsidP="00E816D0">
                          <w:pPr>
                            <w:pStyle w:val="CoverNormal"/>
                            <w:jc w:val="center"/>
                          </w:pPr>
                        </w:p>
                        <w:p w14:paraId="0AC91187" w14:textId="77777777" w:rsidR="00576F35" w:rsidRDefault="00576F35" w:rsidP="00E816D0">
                          <w:pPr>
                            <w:pStyle w:val="CoverNormal"/>
                            <w:jc w:val="center"/>
                          </w:pPr>
                        </w:p>
                        <w:p w14:paraId="5EB21A3E" w14:textId="77777777" w:rsidR="00576F35" w:rsidRDefault="00576F35" w:rsidP="00E816D0">
                          <w:pPr>
                            <w:pStyle w:val="CoverNormal"/>
                            <w:jc w:val="center"/>
                          </w:pPr>
                        </w:p>
                        <w:p w14:paraId="71A5B12F" w14:textId="77777777" w:rsidR="00576F35" w:rsidRDefault="00576F35" w:rsidP="00E816D0">
                          <w:pPr>
                            <w:pStyle w:val="CoverNormal"/>
                            <w:jc w:val="center"/>
                          </w:pPr>
                        </w:p>
                        <w:p w14:paraId="7C8B5128" w14:textId="77777777" w:rsidR="00576F35" w:rsidRDefault="00576F35" w:rsidP="00E816D0">
                          <w:pPr>
                            <w:pStyle w:val="CoverNormal"/>
                            <w:jc w:val="center"/>
                          </w:pPr>
                        </w:p>
                        <w:p w14:paraId="07B559C1" w14:textId="77777777" w:rsidR="00576F35" w:rsidRDefault="00576F35" w:rsidP="00E816D0">
                          <w:pPr>
                            <w:pStyle w:val="CoverNormal"/>
                            <w:jc w:val="center"/>
                          </w:pPr>
                        </w:p>
                        <w:p w14:paraId="5340FC15" w14:textId="77777777" w:rsidR="00576F35" w:rsidRDefault="00576F35" w:rsidP="00E816D0">
                          <w:pPr>
                            <w:pStyle w:val="CoverNormal"/>
                            <w:jc w:val="center"/>
                          </w:pPr>
                        </w:p>
                        <w:p w14:paraId="7F138997" w14:textId="77777777" w:rsidR="00576F35" w:rsidRDefault="00576F35" w:rsidP="00E816D0">
                          <w:pPr>
                            <w:pStyle w:val="CoverNormal"/>
                            <w:jc w:val="center"/>
                          </w:pPr>
                        </w:p>
                        <w:p w14:paraId="2B926F80" w14:textId="77777777" w:rsidR="00576F35" w:rsidRDefault="00576F35" w:rsidP="00E816D0">
                          <w:pPr>
                            <w:pStyle w:val="CoverNormal"/>
                            <w:jc w:val="center"/>
                          </w:pPr>
                        </w:p>
                        <w:p w14:paraId="2BCC4EE7" w14:textId="77777777" w:rsidR="00576F35" w:rsidRDefault="00576F35" w:rsidP="00E816D0">
                          <w:pPr>
                            <w:pStyle w:val="CoverNormal"/>
                            <w:jc w:val="center"/>
                          </w:pPr>
                        </w:p>
                        <w:p w14:paraId="57FBBFBF" w14:textId="77777777" w:rsidR="00576F35" w:rsidRDefault="00576F35" w:rsidP="00E816D0">
                          <w:pPr>
                            <w:pStyle w:val="CoverNormal"/>
                            <w:jc w:val="center"/>
                          </w:pPr>
                        </w:p>
                        <w:p w14:paraId="6FF7D554" w14:textId="77777777" w:rsidR="00576F35" w:rsidRDefault="00576F35" w:rsidP="00E816D0">
                          <w:pPr>
                            <w:pStyle w:val="CoverNormal"/>
                            <w:jc w:val="center"/>
                          </w:pPr>
                        </w:p>
                        <w:p w14:paraId="11BFFAA5" w14:textId="77777777" w:rsidR="00576F35" w:rsidRDefault="00576F35" w:rsidP="00E816D0">
                          <w:pPr>
                            <w:pStyle w:val="CoverNormal"/>
                            <w:jc w:val="center"/>
                          </w:pPr>
                        </w:p>
                        <w:p w14:paraId="0CFF3AA0" w14:textId="77777777" w:rsidR="00576F35" w:rsidRDefault="00576F35" w:rsidP="00E816D0">
                          <w:pPr>
                            <w:pStyle w:val="CoverNormal"/>
                            <w:jc w:val="center"/>
                          </w:pPr>
                        </w:p>
                        <w:p w14:paraId="3678C5D2" w14:textId="77777777" w:rsidR="00576F35" w:rsidRDefault="00576F35" w:rsidP="00E816D0">
                          <w:pPr>
                            <w:pStyle w:val="CoverNormal"/>
                            <w:jc w:val="center"/>
                          </w:pPr>
                        </w:p>
                        <w:p w14:paraId="5249DDE2" w14:textId="77777777" w:rsidR="00576F35" w:rsidRDefault="00576F35" w:rsidP="00E816D0">
                          <w:pPr>
                            <w:pStyle w:val="CoverNormal"/>
                            <w:jc w:val="center"/>
                          </w:pPr>
                        </w:p>
                        <w:p w14:paraId="76D203B6" w14:textId="77777777" w:rsidR="00576F35" w:rsidRDefault="00576F35" w:rsidP="00E816D0">
                          <w:pPr>
                            <w:pStyle w:val="CoverNormal"/>
                            <w:jc w:val="center"/>
                          </w:pPr>
                        </w:p>
                        <w:p w14:paraId="71E54A6F" w14:textId="77777777" w:rsidR="00576F35" w:rsidRDefault="00576F35" w:rsidP="00E816D0">
                          <w:pPr>
                            <w:pStyle w:val="CoverNormal"/>
                            <w:jc w:val="center"/>
                          </w:pPr>
                        </w:p>
                        <w:p w14:paraId="04658521" w14:textId="77777777" w:rsidR="00576F35" w:rsidRDefault="00576F35" w:rsidP="00E816D0">
                          <w:pPr>
                            <w:pStyle w:val="CoverNormal"/>
                            <w:jc w:val="center"/>
                          </w:pPr>
                        </w:p>
                        <w:p w14:paraId="45B0FFC1" w14:textId="77777777" w:rsidR="00576F35" w:rsidRDefault="00576F35" w:rsidP="00E816D0">
                          <w:pPr>
                            <w:pStyle w:val="CoverNormal"/>
                            <w:jc w:val="center"/>
                          </w:pPr>
                        </w:p>
                        <w:p w14:paraId="325074DE" w14:textId="77777777" w:rsidR="00576F35" w:rsidRDefault="00576F35" w:rsidP="00E816D0">
                          <w:pPr>
                            <w:pStyle w:val="CoverNormal"/>
                            <w:jc w:val="center"/>
                          </w:pPr>
                        </w:p>
                        <w:p w14:paraId="53A035C0" w14:textId="77777777" w:rsidR="00576F35" w:rsidRDefault="00576F35" w:rsidP="00E816D0">
                          <w:pPr>
                            <w:pStyle w:val="CoverNormal"/>
                            <w:jc w:val="center"/>
                          </w:pPr>
                        </w:p>
                        <w:sdt>
                          <w:sdtPr>
                            <w:rPr>
                              <w:noProof/>
                              <w:lang w:eastAsia="ko-KR"/>
                            </w:rPr>
                            <w:alias w:val="OECD logo"/>
                            <w:tag w:val="imgOECDLogo"/>
                            <w:id w:val="1328472876"/>
                            <w:picture/>
                          </w:sdtPr>
                          <w:sdtContent>
                            <w:p w14:paraId="443ADD11" w14:textId="77777777" w:rsidR="00576F35" w:rsidRDefault="00576F35" w:rsidP="00E816D0">
                              <w:pPr>
                                <w:pStyle w:val="CoverNormal"/>
                                <w:jc w:val="center"/>
                              </w:pPr>
                              <w:r>
                                <w:rPr>
                                  <w:noProof/>
                                  <w:lang w:eastAsia="en-GB"/>
                                </w:rPr>
                                <w:drawing>
                                  <wp:inline distT="0" distB="0" distL="0" distR="0" wp14:anchorId="539AE0A2" wp14:editId="77A87C31">
                                    <wp:extent cx="1641361" cy="39256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213FB89C" w14:textId="77777777" w:rsidR="00576F35" w:rsidRDefault="00576F35" w:rsidP="00940871">
                              <w:pPr>
                                <w:pStyle w:val="CoverNormal"/>
                                <w:rPr>
                                  <w:color w:val="FFFFFF" w:themeColor="background1"/>
                                </w:rPr>
                              </w:pPr>
                              <w:r w:rsidRPr="00940871">
                                <w:rPr>
                                  <w:color w:val="FFFFFF" w:themeColor="background1"/>
                                </w:rPr>
                                <w:t>PUBE</w:t>
                              </w:r>
                            </w:p>
                          </w:sdtContent>
                        </w:sdt>
                        <w:p w14:paraId="2499ED93" w14:textId="77777777" w:rsidR="00576F35" w:rsidRDefault="00576F35" w:rsidP="00E816D0">
                          <w:pPr>
                            <w:pStyle w:val="CoverNormal"/>
                            <w:jc w:val="center"/>
                          </w:pPr>
                        </w:p>
                        <w:p w14:paraId="403BDD05" w14:textId="77777777" w:rsidR="00576F35" w:rsidRPr="00310112" w:rsidRDefault="00576F35" w:rsidP="00E816D0">
                          <w:pPr>
                            <w:pStyle w:val="CoverNormal"/>
                          </w:pPr>
                        </w:p>
                      </w:txbxContent>
                    </v:textbox>
                    <w10:wrap anchory="page"/>
                    <w10:anchorlock/>
                  </v:shape>
                </w:pict>
              </mc:Fallback>
            </mc:AlternateContent>
          </w:r>
        </w:p>
        <w:p w14:paraId="50B2738E" w14:textId="77777777" w:rsidR="00B52A31" w:rsidRPr="00833FF5" w:rsidRDefault="00B52A31" w:rsidP="00E816D0">
          <w:pPr>
            <w:spacing w:line="276" w:lineRule="auto"/>
          </w:pPr>
        </w:p>
        <w:p w14:paraId="2DF65E07" w14:textId="5ACC06E3" w:rsidR="00B52A31" w:rsidRDefault="00B52A31">
          <w:pPr>
            <w:spacing w:line="276" w:lineRule="auto"/>
            <w:jc w:val="left"/>
          </w:pPr>
          <w:r>
            <w:rPr>
              <w:i/>
            </w:rPr>
            <w:br w:type="page"/>
          </w:r>
        </w:p>
      </w:sdtContent>
    </w:sdt>
    <w:p w14:paraId="0181FD55" w14:textId="6FAE14B7" w:rsidR="00F72BA3" w:rsidRPr="00C03914" w:rsidRDefault="00F72BA3" w:rsidP="00F72BA3">
      <w:pPr>
        <w:spacing w:before="120" w:after="120" w:line="260" w:lineRule="atLeast"/>
        <w:rPr>
          <w:rFonts w:ascii="Arial" w:eastAsia="Arial" w:hAnsi="Arial"/>
          <w:b/>
          <w:noProof/>
          <w:color w:val="000000"/>
          <w:sz w:val="20"/>
          <w:lang w:val="en-US" w:eastAsia="ko-KR"/>
        </w:rPr>
      </w:pPr>
    </w:p>
    <w:p w14:paraId="72E04CEA" w14:textId="23BF18D0" w:rsidR="00F72BA3" w:rsidRPr="005C0AD8" w:rsidRDefault="00F72BA3" w:rsidP="00F72BA3">
      <w:pPr>
        <w:pBdr>
          <w:top w:val="single" w:sz="4" w:space="1" w:color="auto"/>
          <w:left w:val="single" w:sz="4" w:space="4" w:color="auto"/>
          <w:bottom w:val="single" w:sz="4" w:space="1" w:color="auto"/>
          <w:right w:val="single" w:sz="4" w:space="4" w:color="auto"/>
        </w:pBdr>
        <w:shd w:val="pct10" w:color="auto" w:fill="auto"/>
        <w:spacing w:before="120" w:after="120" w:line="260" w:lineRule="atLeast"/>
        <w:rPr>
          <w:rFonts w:ascii="Arial" w:eastAsia="Arial" w:hAnsi="Arial"/>
          <w:noProof/>
          <w:color w:val="000000"/>
          <w:sz w:val="20"/>
          <w:lang w:val="en-US" w:eastAsia="ko-KR"/>
        </w:rPr>
      </w:pPr>
      <w:r w:rsidRPr="00C03914">
        <w:rPr>
          <w:rFonts w:ascii="Arial" w:eastAsia="Arial" w:hAnsi="Arial"/>
          <w:b/>
          <w:noProof/>
          <w:color w:val="000000"/>
          <w:sz w:val="20"/>
          <w:lang w:val="en-US" w:eastAsia="ko-KR"/>
        </w:rPr>
        <w:t xml:space="preserve">Please cite this publication as: </w:t>
      </w:r>
    </w:p>
    <w:p w14:paraId="21F39F34" w14:textId="50AC0390" w:rsidR="00F72BA3" w:rsidRDefault="00F72BA3" w:rsidP="00F72BA3">
      <w:pPr>
        <w:pBdr>
          <w:top w:val="single" w:sz="4" w:space="1" w:color="auto"/>
          <w:left w:val="single" w:sz="4" w:space="4" w:color="auto"/>
          <w:bottom w:val="single" w:sz="4" w:space="1" w:color="auto"/>
          <w:right w:val="single" w:sz="4" w:space="4" w:color="auto"/>
        </w:pBdr>
        <w:shd w:val="pct10" w:color="auto" w:fill="auto"/>
        <w:spacing w:before="120" w:line="260" w:lineRule="atLeast"/>
        <w:rPr>
          <w:rFonts w:ascii="Arial" w:eastAsia="Arial" w:hAnsi="Arial"/>
          <w:noProof/>
          <w:color w:val="000000"/>
          <w:sz w:val="20"/>
          <w:lang w:val="en-US" w:eastAsia="ko-KR"/>
        </w:rPr>
      </w:pPr>
      <w:r w:rsidRPr="008246BB">
        <w:rPr>
          <w:rFonts w:ascii="Arial" w:eastAsia="Arial" w:hAnsi="Arial"/>
          <w:noProof/>
          <w:color w:val="000000"/>
          <w:sz w:val="20"/>
          <w:lang w:val="en-US" w:eastAsia="ko-KR"/>
        </w:rPr>
        <w:t xml:space="preserve">OECD (2020), </w:t>
      </w:r>
      <w:r w:rsidRPr="00A00142">
        <w:rPr>
          <w:rFonts w:ascii="Arial" w:eastAsia="Arial" w:hAnsi="Arial"/>
          <w:i/>
          <w:noProof/>
          <w:color w:val="000000"/>
          <w:sz w:val="20"/>
          <w:lang w:val="en-US" w:eastAsia="ko-KR"/>
        </w:rPr>
        <w:t xml:space="preserve">Investment </w:t>
      </w:r>
      <w:r w:rsidR="00CF5B8F" w:rsidRPr="00A00142">
        <w:rPr>
          <w:rFonts w:ascii="Arial" w:eastAsia="Arial" w:hAnsi="Arial"/>
          <w:i/>
          <w:noProof/>
          <w:color w:val="000000"/>
          <w:sz w:val="20"/>
          <w:lang w:val="en-US" w:eastAsia="ko-KR"/>
        </w:rPr>
        <w:t>P</w:t>
      </w:r>
      <w:r w:rsidRPr="00A00142">
        <w:rPr>
          <w:rFonts w:ascii="Arial" w:eastAsia="Arial" w:hAnsi="Arial"/>
          <w:i/>
          <w:noProof/>
          <w:color w:val="000000"/>
          <w:sz w:val="20"/>
          <w:lang w:val="en-US" w:eastAsia="ko-KR"/>
        </w:rPr>
        <w:t xml:space="preserve">erspectives in Eastern Partner </w:t>
      </w:r>
      <w:r w:rsidR="00CF5B8F" w:rsidRPr="00A00142">
        <w:rPr>
          <w:rFonts w:ascii="Arial" w:eastAsia="Arial" w:hAnsi="Arial"/>
          <w:i/>
          <w:noProof/>
          <w:color w:val="000000"/>
          <w:sz w:val="20"/>
          <w:lang w:val="en-US" w:eastAsia="ko-KR"/>
        </w:rPr>
        <w:t>C</w:t>
      </w:r>
      <w:r w:rsidRPr="00A00142">
        <w:rPr>
          <w:rFonts w:ascii="Arial" w:eastAsia="Arial" w:hAnsi="Arial"/>
          <w:i/>
          <w:noProof/>
          <w:color w:val="000000"/>
          <w:sz w:val="20"/>
          <w:lang w:val="en-US" w:eastAsia="ko-KR"/>
        </w:rPr>
        <w:t>ountries</w:t>
      </w:r>
    </w:p>
    <w:p w14:paraId="1A2F4604" w14:textId="79CA95EB" w:rsidR="00F72BA3" w:rsidRDefault="00F72BA3" w:rsidP="00F72BA3">
      <w:pPr>
        <w:pBdr>
          <w:top w:val="single" w:sz="4" w:space="1" w:color="auto"/>
          <w:left w:val="single" w:sz="4" w:space="4" w:color="auto"/>
          <w:bottom w:val="single" w:sz="4" w:space="1" w:color="auto"/>
          <w:right w:val="single" w:sz="4" w:space="4" w:color="auto"/>
        </w:pBdr>
        <w:shd w:val="pct10" w:color="auto" w:fill="auto"/>
        <w:spacing w:before="120"/>
        <w:rPr>
          <w:rFonts w:ascii="Arial" w:eastAsia="Arial" w:hAnsi="Arial"/>
          <w:noProof/>
          <w:color w:val="000000"/>
          <w:sz w:val="20"/>
          <w:lang w:val="en-US" w:eastAsia="ko-KR"/>
        </w:rPr>
      </w:pPr>
      <w:r>
        <w:rPr>
          <w:rFonts w:ascii="Arial" w:eastAsia="Arial" w:hAnsi="Arial"/>
          <w:noProof/>
          <w:color w:val="000000"/>
          <w:sz w:val="20"/>
          <w:lang w:val="en-US" w:eastAsia="ko-KR"/>
        </w:rPr>
        <w:t>www.oecd.org/investment/Investment-perspectives-in-Eastern-Partner-countries.pdf</w:t>
      </w:r>
    </w:p>
    <w:p w14:paraId="229DBCCE"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1860EAE7"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59205F02"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49E9A751"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23C4B53B"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4C695400"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7FC86D58"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4717D802"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78C6951F"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7553C2A4"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295EFB80" w14:textId="77777777" w:rsidR="00F72BA3" w:rsidRPr="00C03914" w:rsidRDefault="00F72BA3" w:rsidP="00F72BA3">
      <w:pPr>
        <w:spacing w:before="120" w:after="120" w:line="260" w:lineRule="atLeast"/>
        <w:rPr>
          <w:rFonts w:ascii="Arial" w:eastAsia="Arial" w:hAnsi="Arial"/>
          <w:noProof/>
          <w:color w:val="000000"/>
          <w:sz w:val="20"/>
          <w:lang w:val="en-US" w:eastAsia="ko-KR"/>
        </w:rPr>
      </w:pPr>
    </w:p>
    <w:p w14:paraId="3BE322F6" w14:textId="77777777" w:rsidR="00F72BA3" w:rsidRDefault="00F72BA3" w:rsidP="00F72BA3">
      <w:pPr>
        <w:spacing w:before="120" w:after="120" w:line="260" w:lineRule="atLeast"/>
        <w:rPr>
          <w:rFonts w:ascii="Arial" w:eastAsia="Arial" w:hAnsi="Arial"/>
          <w:color w:val="000000"/>
          <w:sz w:val="20"/>
        </w:rPr>
      </w:pPr>
    </w:p>
    <w:p w14:paraId="13C0F975" w14:textId="77777777" w:rsidR="00F72BA3" w:rsidRDefault="00F72BA3" w:rsidP="00F72BA3">
      <w:pPr>
        <w:spacing w:before="120" w:after="120" w:line="260" w:lineRule="atLeast"/>
        <w:rPr>
          <w:rFonts w:ascii="Arial" w:eastAsia="Arial" w:hAnsi="Arial"/>
          <w:color w:val="000000"/>
          <w:sz w:val="20"/>
        </w:rPr>
      </w:pPr>
    </w:p>
    <w:p w14:paraId="6D2EB8EB" w14:textId="77777777" w:rsidR="00F72BA3" w:rsidRDefault="00F72BA3" w:rsidP="00F72BA3">
      <w:pPr>
        <w:spacing w:before="120" w:after="120" w:line="260" w:lineRule="atLeast"/>
        <w:rPr>
          <w:rFonts w:ascii="Arial" w:eastAsia="Arial" w:hAnsi="Arial"/>
          <w:color w:val="000000"/>
          <w:sz w:val="20"/>
        </w:rPr>
      </w:pPr>
    </w:p>
    <w:p w14:paraId="34791126" w14:textId="77777777" w:rsidR="00F72BA3" w:rsidRDefault="00F72BA3" w:rsidP="00F72BA3">
      <w:pPr>
        <w:spacing w:before="120" w:after="120" w:line="260" w:lineRule="atLeast"/>
        <w:rPr>
          <w:rFonts w:ascii="Arial" w:eastAsia="Arial" w:hAnsi="Arial"/>
          <w:color w:val="000000"/>
          <w:sz w:val="20"/>
        </w:rPr>
      </w:pPr>
    </w:p>
    <w:p w14:paraId="22125FA8" w14:textId="6774D68C" w:rsidR="00F72BA3" w:rsidRDefault="00F72BA3" w:rsidP="00F72BA3">
      <w:pPr>
        <w:spacing w:before="120" w:after="120" w:line="260" w:lineRule="atLeast"/>
        <w:rPr>
          <w:rFonts w:ascii="Arial" w:eastAsia="Arial" w:hAnsi="Arial"/>
          <w:color w:val="000000"/>
          <w:sz w:val="20"/>
        </w:rPr>
      </w:pPr>
    </w:p>
    <w:p w14:paraId="0857AD60" w14:textId="50D1057B" w:rsidR="001F04BF" w:rsidRDefault="001F04BF" w:rsidP="00F72BA3">
      <w:pPr>
        <w:spacing w:before="120" w:after="120" w:line="260" w:lineRule="atLeast"/>
        <w:rPr>
          <w:rFonts w:ascii="Arial" w:eastAsia="Arial" w:hAnsi="Arial"/>
          <w:color w:val="000000"/>
          <w:sz w:val="20"/>
        </w:rPr>
      </w:pPr>
    </w:p>
    <w:p w14:paraId="7DCC2BF4" w14:textId="77777777" w:rsidR="001F04BF" w:rsidRDefault="001F04BF" w:rsidP="00F72BA3">
      <w:pPr>
        <w:spacing w:before="120" w:after="120" w:line="260" w:lineRule="atLeast"/>
        <w:rPr>
          <w:rFonts w:ascii="Arial" w:eastAsia="Arial" w:hAnsi="Arial"/>
          <w:color w:val="000000"/>
          <w:sz w:val="20"/>
        </w:rPr>
      </w:pPr>
    </w:p>
    <w:p w14:paraId="3830CCF8" w14:textId="61D61F3E" w:rsidR="001F04BF" w:rsidRDefault="001F04BF" w:rsidP="00F72BA3">
      <w:pPr>
        <w:spacing w:before="120" w:after="120" w:line="260" w:lineRule="atLeast"/>
        <w:rPr>
          <w:rFonts w:ascii="Arial" w:eastAsia="Arial" w:hAnsi="Arial"/>
          <w:color w:val="000000"/>
          <w:sz w:val="20"/>
        </w:rPr>
      </w:pPr>
    </w:p>
    <w:p w14:paraId="7406857E" w14:textId="388FCDC8" w:rsidR="00F72BA3" w:rsidRDefault="00F72BA3" w:rsidP="00F72BA3">
      <w:pPr>
        <w:spacing w:before="120" w:after="120" w:line="260" w:lineRule="atLeast"/>
        <w:rPr>
          <w:rFonts w:ascii="Arial" w:eastAsia="Arial" w:hAnsi="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159"/>
      </w:tblGrid>
      <w:tr w:rsidR="001F04BF" w14:paraId="74D80F24" w14:textId="77777777" w:rsidTr="001F04BF">
        <w:tc>
          <w:tcPr>
            <w:tcW w:w="1129" w:type="dxa"/>
          </w:tcPr>
          <w:p w14:paraId="07B34000" w14:textId="68FC0F8E" w:rsidR="001F04BF" w:rsidRDefault="001F04BF" w:rsidP="00F72BA3">
            <w:pPr>
              <w:spacing w:before="120" w:after="120" w:line="260" w:lineRule="atLeast"/>
              <w:rPr>
                <w:rFonts w:ascii="Arial" w:eastAsia="Arial" w:hAnsi="Arial"/>
                <w:color w:val="000000"/>
                <w:sz w:val="20"/>
              </w:rPr>
            </w:pPr>
            <w:r>
              <w:rPr>
                <w:noProof/>
                <w:lang w:eastAsia="en-GB"/>
              </w:rPr>
              <w:drawing>
                <wp:inline distT="0" distB="0" distL="0" distR="0" wp14:anchorId="28ED9BC5" wp14:editId="585EF7E0">
                  <wp:extent cx="526694" cy="491284"/>
                  <wp:effectExtent l="0" t="0" r="6985" b="4445"/>
                  <wp:docPr id="12" name="Picture 2" descr="\\oecdsharetmp.oecd.org\DavWWWRoot\daf\PSD\Shared Documents\Eurasia\EESC CA Phase II\1. PROJECT MANAGEMENT\EU4BUSINESS VISUALS\EU flag-EU4Business-positiv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ecdsharetmp.oecd.org\DavWWWRoot\daf\PSD\Shared Documents\Eurasia\EESC CA Phase II\1. PROJECT MANAGEMENT\EU4BUSINESS VISUALS\EU flag-EU4Business-positive-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3551" cy="507008"/>
                          </a:xfrm>
                          <a:prstGeom prst="rect">
                            <a:avLst/>
                          </a:prstGeom>
                          <a:noFill/>
                          <a:extLst/>
                        </pic:spPr>
                      </pic:pic>
                    </a:graphicData>
                  </a:graphic>
                </wp:inline>
              </w:drawing>
            </w:r>
          </w:p>
        </w:tc>
        <w:tc>
          <w:tcPr>
            <w:tcW w:w="8159" w:type="dxa"/>
          </w:tcPr>
          <w:p w14:paraId="02AAFDD2" w14:textId="71D4C7D8" w:rsidR="001F04BF" w:rsidRDefault="001F04BF" w:rsidP="00F72BA3">
            <w:pPr>
              <w:spacing w:before="120" w:after="120" w:line="260" w:lineRule="atLeast"/>
              <w:rPr>
                <w:rFonts w:ascii="Arial" w:eastAsia="Arial" w:hAnsi="Arial"/>
                <w:color w:val="000000"/>
                <w:sz w:val="20"/>
              </w:rPr>
            </w:pPr>
            <w:r w:rsidRPr="001F04BF">
              <w:rPr>
                <w:rFonts w:ascii="Arial" w:eastAsia="Arial" w:hAnsi="Arial"/>
                <w:noProof/>
                <w:color w:val="000000"/>
                <w:sz w:val="18"/>
                <w:lang w:val="en-US" w:eastAsia="ko-KR"/>
              </w:rPr>
              <w:t xml:space="preserve">This project is implemented with the financial support of the European Union within the </w:t>
            </w:r>
            <w:hyperlink r:id="rId16" w:history="1">
              <w:r w:rsidRPr="001F04BF">
                <w:rPr>
                  <w:rStyle w:val="Hyperlink"/>
                  <w:rFonts w:eastAsia="Arial"/>
                  <w:noProof/>
                  <w:lang w:val="en-US" w:eastAsia="ko-KR"/>
                </w:rPr>
                <w:t>EU4Business</w:t>
              </w:r>
            </w:hyperlink>
            <w:r w:rsidRPr="001F04BF">
              <w:rPr>
                <w:rFonts w:ascii="Arial" w:eastAsia="Arial" w:hAnsi="Arial"/>
                <w:noProof/>
                <w:color w:val="000000"/>
                <w:sz w:val="18"/>
                <w:lang w:val="en-US" w:eastAsia="ko-KR"/>
              </w:rPr>
              <w:t xml:space="preserve"> initiative. EU4Business is an EU initiative that helps SMEs in the six countries of the Eastern Partnership region to realise their full potential and boost economic growth.</w:t>
            </w:r>
          </w:p>
        </w:tc>
      </w:tr>
    </w:tbl>
    <w:p w14:paraId="02F2EF8C" w14:textId="03CA1624" w:rsidR="00F72BA3" w:rsidRPr="00273B9E" w:rsidRDefault="00F72BA3" w:rsidP="00F72BA3">
      <w:pPr>
        <w:spacing w:before="120" w:after="120" w:line="260" w:lineRule="atLeast"/>
        <w:rPr>
          <w:rFonts w:ascii="Arial" w:eastAsia="Arial" w:hAnsi="Arial"/>
          <w:noProof/>
          <w:color w:val="000000"/>
          <w:sz w:val="18"/>
          <w:lang w:val="en-US" w:eastAsia="ko-KR"/>
        </w:rPr>
      </w:pPr>
    </w:p>
    <w:p w14:paraId="53F89933" w14:textId="52EF747D" w:rsidR="00F72BA3" w:rsidRPr="00C03914" w:rsidRDefault="00F72BA3" w:rsidP="00F72BA3">
      <w:pPr>
        <w:spacing w:before="120" w:after="120" w:line="260" w:lineRule="atLeast"/>
        <w:rPr>
          <w:rFonts w:ascii="Arial" w:eastAsia="Arial" w:hAnsi="Arial"/>
          <w:noProof/>
          <w:color w:val="000000"/>
          <w:sz w:val="18"/>
          <w:lang w:val="en-US" w:eastAsia="ko-KR"/>
        </w:rPr>
      </w:pPr>
      <w:r w:rsidRPr="00C03914">
        <w:rPr>
          <w:rFonts w:ascii="Arial" w:eastAsia="Arial" w:hAnsi="Arial"/>
          <w:noProof/>
          <w:color w:val="000000"/>
          <w:sz w:val="18"/>
          <w:lang w:val="en-US" w:eastAsia="ko-KR"/>
        </w:rPr>
        <w:t>This work is published under the responsibility of the Secretary-General of the OECD. The opinions expressed and arguments employed herein do not necessarily reflect the official views of OECD member countries</w:t>
      </w:r>
      <w:r w:rsidR="00CF5B8F">
        <w:rPr>
          <w:rFonts w:ascii="Arial" w:eastAsia="Arial" w:hAnsi="Arial"/>
          <w:noProof/>
          <w:color w:val="000000"/>
          <w:sz w:val="18"/>
          <w:lang w:val="en-US" w:eastAsia="ko-KR"/>
        </w:rPr>
        <w:t xml:space="preserve"> or the European Union</w:t>
      </w:r>
      <w:r w:rsidRPr="00C03914">
        <w:rPr>
          <w:rFonts w:ascii="Arial" w:eastAsia="Arial" w:hAnsi="Arial"/>
          <w:noProof/>
          <w:color w:val="000000"/>
          <w:sz w:val="18"/>
          <w:lang w:val="en-US" w:eastAsia="ko-KR"/>
        </w:rPr>
        <w:t>.</w:t>
      </w:r>
    </w:p>
    <w:p w14:paraId="031A17DE" w14:textId="77777777" w:rsidR="00F72BA3" w:rsidRPr="00C03914" w:rsidRDefault="00F72BA3" w:rsidP="00F72BA3">
      <w:pPr>
        <w:spacing w:before="120" w:after="120" w:line="260" w:lineRule="atLeast"/>
        <w:rPr>
          <w:rFonts w:ascii="Arial" w:eastAsia="Arial" w:hAnsi="Arial"/>
          <w:noProof/>
          <w:color w:val="000000"/>
          <w:sz w:val="18"/>
          <w:lang w:val="en-US" w:eastAsia="ko-KR"/>
        </w:rPr>
      </w:pPr>
      <w:r w:rsidRPr="00C03914">
        <w:rPr>
          <w:rFonts w:ascii="Arial" w:eastAsia="Arial" w:hAnsi="Arial"/>
          <w:noProof/>
          <w:color w:val="000000"/>
          <w:sz w:val="18"/>
          <w:lang w:val="en-US" w:eastAsia="ko-KR"/>
        </w:rPr>
        <w:t>This document, as well as any data and map included herein, are without prejudice to the status of or sovereignty over any territory, to the delimitation of international frontiers and boundaries and to the name of any territory, city or area.</w:t>
      </w:r>
    </w:p>
    <w:p w14:paraId="1B124710" w14:textId="77777777" w:rsidR="00F72BA3" w:rsidRPr="00C03914" w:rsidRDefault="00F72BA3" w:rsidP="00F72BA3">
      <w:pPr>
        <w:spacing w:before="120" w:after="120" w:line="260" w:lineRule="atLeast"/>
        <w:rPr>
          <w:rFonts w:ascii="Arial" w:eastAsia="Arial" w:hAnsi="Arial"/>
          <w:noProof/>
          <w:color w:val="000000"/>
          <w:sz w:val="18"/>
          <w:lang w:val="en-US" w:eastAsia="ko-KR"/>
        </w:rPr>
        <w:sectPr w:rsidR="00F72BA3" w:rsidRPr="00C03914" w:rsidSect="00B568E8">
          <w:headerReference w:type="even" r:id="rId17"/>
          <w:headerReference w:type="default" r:id="rId18"/>
          <w:footerReference w:type="even" r:id="rId19"/>
          <w:footerReference w:type="default" r:id="rId20"/>
          <w:endnotePr>
            <w:numFmt w:val="decimal"/>
            <w:numRestart w:val="eachSect"/>
          </w:endnotePr>
          <w:type w:val="continuous"/>
          <w:pgSz w:w="11906" w:h="16838" w:code="9"/>
          <w:pgMar w:top="1814" w:right="1304" w:bottom="1758" w:left="1304" w:header="1247" w:footer="1020" w:gutter="0"/>
          <w:pgNumType w:start="1"/>
          <w:cols w:space="708"/>
          <w:docGrid w:linePitch="360"/>
        </w:sectPr>
      </w:pPr>
      <w:r w:rsidRPr="00C03914">
        <w:rPr>
          <w:rFonts w:ascii="Arial" w:eastAsia="Arial" w:hAnsi="Arial"/>
          <w:noProof/>
          <w:color w:val="000000"/>
          <w:sz w:val="18"/>
          <w:lang w:val="en-US" w:eastAsia="ko-KR"/>
        </w:rPr>
        <w:t xml:space="preserve">© OECD 2020 </w:t>
      </w:r>
    </w:p>
    <w:p w14:paraId="1B7CCEA1" w14:textId="418B2B43" w:rsidR="00667EE6" w:rsidRDefault="00667EE6" w:rsidP="004A6383">
      <w:pPr>
        <w:pStyle w:val="Title"/>
      </w:pPr>
      <w:bookmarkStart w:id="2" w:name="_Toc33443282"/>
      <w:r>
        <w:lastRenderedPageBreak/>
        <w:t>For</w:t>
      </w:r>
      <w:r w:rsidR="00966468">
        <w:t>e</w:t>
      </w:r>
      <w:r>
        <w:t>w</w:t>
      </w:r>
      <w:r w:rsidR="00147EFE">
        <w:t>o</w:t>
      </w:r>
      <w:r>
        <w:t>rd</w:t>
      </w:r>
      <w:bookmarkEnd w:id="0"/>
      <w:bookmarkEnd w:id="1"/>
      <w:bookmarkEnd w:id="2"/>
    </w:p>
    <w:p w14:paraId="785E3A9B" w14:textId="35F82E9C" w:rsidR="001B5143" w:rsidRDefault="00A40FB3" w:rsidP="00B3576B">
      <w:pPr>
        <w:pStyle w:val="Para0"/>
      </w:pPr>
      <w:r w:rsidRPr="00A40FB3">
        <w:t xml:space="preserve">Investment is central to growth and sustainable development. It expands an economy’s </w:t>
      </w:r>
      <w:r w:rsidRPr="00570C38">
        <w:t>productive capacity, creates jobs and raises income. Under the right conditions, foreign direct investment (FDI) can</w:t>
      </w:r>
      <w:r w:rsidR="00570C38">
        <w:t xml:space="preserve"> provide additional advantages by bringing new knowledge and more sustainable business practices to</w:t>
      </w:r>
      <w:r w:rsidRPr="00570C38">
        <w:t xml:space="preserve"> recipient countries</w:t>
      </w:r>
      <w:r w:rsidR="00570C38">
        <w:t>, and</w:t>
      </w:r>
      <w:r w:rsidRPr="00570C38">
        <w:t xml:space="preserve"> ultimately </w:t>
      </w:r>
      <w:r w:rsidR="00570C38">
        <w:t>improve</w:t>
      </w:r>
      <w:r w:rsidR="00361E3F">
        <w:t xml:space="preserve"> their</w:t>
      </w:r>
      <w:r w:rsidR="00570C38">
        <w:t xml:space="preserve"> citizens’ standard of</w:t>
      </w:r>
      <w:r w:rsidRPr="00570C38">
        <w:t xml:space="preserve"> living. These benefits do not occur automatically, and an adequate policy framework is necessary both to attract investment and to maximise positive </w:t>
      </w:r>
      <w:r w:rsidR="00043324">
        <w:t xml:space="preserve">FDI </w:t>
      </w:r>
      <w:r w:rsidRPr="00A40FB3">
        <w:t>spillovers.</w:t>
      </w:r>
    </w:p>
    <w:p w14:paraId="7EB7C86C" w14:textId="7DC59DAE" w:rsidR="00A54D13" w:rsidRDefault="00A40FB3" w:rsidP="00B3576B">
      <w:pPr>
        <w:pStyle w:val="Para0"/>
      </w:pPr>
      <w:r w:rsidRPr="00A40FB3">
        <w:t>FDI in Eastern Partner (EaP) countries has grown considerably over the last two decades, and is associated</w:t>
      </w:r>
      <w:r w:rsidR="00043324">
        <w:t xml:space="preserve"> with greater innovation capacity</w:t>
      </w:r>
      <w:r w:rsidR="001B5143">
        <w:t>.</w:t>
      </w:r>
      <w:r>
        <w:t xml:space="preserve"> </w:t>
      </w:r>
      <w:r w:rsidR="001B5143">
        <w:t>Yet, already</w:t>
      </w:r>
      <w:r>
        <w:t xml:space="preserve"> below potential compar</w:t>
      </w:r>
      <w:r w:rsidR="00012E9D">
        <w:t>ed</w:t>
      </w:r>
      <w:r>
        <w:t xml:space="preserve"> to neighbouring regions, </w:t>
      </w:r>
      <w:r w:rsidR="00012E9D">
        <w:t xml:space="preserve">FDI flows </w:t>
      </w:r>
      <w:r w:rsidR="00E74877">
        <w:t xml:space="preserve">to the EaP countries </w:t>
      </w:r>
      <w:r w:rsidR="00012E9D">
        <w:t>are</w:t>
      </w:r>
      <w:r w:rsidR="001B5143">
        <w:t xml:space="preserve"> likely to </w:t>
      </w:r>
      <w:r w:rsidR="00012E9D">
        <w:t>drop</w:t>
      </w:r>
      <w:r w:rsidR="001B5143">
        <w:t xml:space="preserve"> </w:t>
      </w:r>
      <w:r w:rsidR="00012E9D">
        <w:t>sharply</w:t>
      </w:r>
      <w:r w:rsidR="001B5143">
        <w:t xml:space="preserve"> as a </w:t>
      </w:r>
      <w:r w:rsidR="00031578">
        <w:t>consequence</w:t>
      </w:r>
      <w:r w:rsidR="001B5143">
        <w:t xml:space="preserve"> of the </w:t>
      </w:r>
      <w:r w:rsidR="00DC6304">
        <w:t>coronavirus (</w:t>
      </w:r>
      <w:r w:rsidR="001B5143">
        <w:t>COVID-19</w:t>
      </w:r>
      <w:r w:rsidR="00DC6304">
        <w:t>)</w:t>
      </w:r>
      <w:r w:rsidR="001B5143">
        <w:t xml:space="preserve"> pandemic and resulting global economic upheaval. T</w:t>
      </w:r>
      <w:r>
        <w:t xml:space="preserve">here </w:t>
      </w:r>
      <w:r w:rsidR="001B5143">
        <w:t xml:space="preserve">remains considerable </w:t>
      </w:r>
      <w:r>
        <w:t>scope for improving the investment climate</w:t>
      </w:r>
      <w:r w:rsidR="001B5143">
        <w:t xml:space="preserve">, </w:t>
      </w:r>
      <w:r w:rsidR="00012E9D">
        <w:t xml:space="preserve">in order to retain existing investors, attract new ones, </w:t>
      </w:r>
      <w:r w:rsidR="001B5143">
        <w:t xml:space="preserve">and </w:t>
      </w:r>
      <w:r w:rsidR="00E74877">
        <w:t>mitigate</w:t>
      </w:r>
      <w:r w:rsidR="001B5143">
        <w:t xml:space="preserve"> the expected drop in FDI inflows</w:t>
      </w:r>
      <w:r>
        <w:t>.</w:t>
      </w:r>
    </w:p>
    <w:p w14:paraId="5A1DA137" w14:textId="79D2BE39" w:rsidR="00B3576B" w:rsidRDefault="00861E69" w:rsidP="00B3576B">
      <w:pPr>
        <w:pStyle w:val="Para0"/>
      </w:pPr>
      <w:r>
        <w:t xml:space="preserve">This report examines recent developments in FDI and related sustainable development outcomes in </w:t>
      </w:r>
      <w:r w:rsidR="00036EAF">
        <w:t>EaP</w:t>
      </w:r>
      <w:r>
        <w:t xml:space="preserve"> countries. It then considers several dimensions of the policy framework that affect the investment climat</w:t>
      </w:r>
      <w:r w:rsidR="007F60B1">
        <w:t>e of the six countries; notably,</w:t>
      </w:r>
      <w:r>
        <w:t xml:space="preserve"> FDI liberalisation</w:t>
      </w:r>
      <w:r w:rsidR="007F60B1">
        <w:t>,</w:t>
      </w:r>
      <w:r>
        <w:t xml:space="preserve"> investment promotion and facilitation</w:t>
      </w:r>
      <w:r w:rsidR="007F60B1">
        <w:t>, investment tax incentives, and</w:t>
      </w:r>
      <w:r>
        <w:t xml:space="preserve"> responsible business conduct</w:t>
      </w:r>
      <w:r w:rsidR="00273B9E">
        <w:t>.</w:t>
      </w:r>
    </w:p>
    <w:p w14:paraId="0C339A6F" w14:textId="2849C816" w:rsidR="00043324" w:rsidRPr="00B3576B" w:rsidRDefault="00043324" w:rsidP="00B3576B">
      <w:pPr>
        <w:pStyle w:val="Para0"/>
      </w:pPr>
      <w:r w:rsidRPr="00043324">
        <w:t xml:space="preserve">The main beneficiaries of this </w:t>
      </w:r>
      <w:r>
        <w:t>report</w:t>
      </w:r>
      <w:r w:rsidRPr="00043324">
        <w:t xml:space="preserve"> are the governments </w:t>
      </w:r>
      <w:r>
        <w:t>of</w:t>
      </w:r>
      <w:r w:rsidRPr="00043324">
        <w:t xml:space="preserve"> the </w:t>
      </w:r>
      <w:r>
        <w:t xml:space="preserve">six </w:t>
      </w:r>
      <w:r w:rsidR="00036EAF">
        <w:t>EaP</w:t>
      </w:r>
      <w:r w:rsidRPr="00043324">
        <w:t xml:space="preserve"> </w:t>
      </w:r>
      <w:r>
        <w:t>countries, and</w:t>
      </w:r>
      <w:r w:rsidRPr="00043324">
        <w:t xml:space="preserve"> in particular</w:t>
      </w:r>
      <w:r>
        <w:t xml:space="preserve"> their respective authorities overseeing </w:t>
      </w:r>
      <w:r w:rsidR="009F0C59">
        <w:t xml:space="preserve">economic development, </w:t>
      </w:r>
      <w:r>
        <w:t xml:space="preserve">investment </w:t>
      </w:r>
      <w:r w:rsidR="009F0C59">
        <w:t xml:space="preserve">policy, </w:t>
      </w:r>
      <w:r>
        <w:t xml:space="preserve">tax policy, </w:t>
      </w:r>
      <w:r w:rsidR="009F0C59">
        <w:t xml:space="preserve">justice, competition, as well as agencies charged with </w:t>
      </w:r>
      <w:r w:rsidRPr="00043324">
        <w:t>investment promotion</w:t>
      </w:r>
      <w:r>
        <w:t>.</w:t>
      </w:r>
    </w:p>
    <w:p w14:paraId="14156AE2" w14:textId="0F4998B8" w:rsidR="00667EE6" w:rsidRDefault="00667EE6" w:rsidP="004A6383">
      <w:pPr>
        <w:pStyle w:val="Title"/>
      </w:pPr>
      <w:bookmarkStart w:id="3" w:name="_Toc31228342"/>
      <w:bookmarkStart w:id="4" w:name="_Toc31983272"/>
      <w:bookmarkStart w:id="5" w:name="_Toc33443283"/>
      <w:r>
        <w:lastRenderedPageBreak/>
        <w:t>Acknowledgements</w:t>
      </w:r>
      <w:bookmarkEnd w:id="3"/>
      <w:bookmarkEnd w:id="4"/>
      <w:bookmarkEnd w:id="5"/>
    </w:p>
    <w:p w14:paraId="5DC665BC" w14:textId="77777777" w:rsidR="00BA006D" w:rsidRDefault="00BA006D" w:rsidP="00BA006D">
      <w:pPr>
        <w:pStyle w:val="Para0"/>
      </w:pPr>
      <w:r>
        <w:t>This report presents work carried out by the OECD Eurasia Competitiveness Programme (ECP) under the authority of the OECD Eastern Europe and South Caucasus Initiative Steering Committee, in consultation with the governments of Armenia, Azerbaijan, Belarus, Georgia, Moldova, and Ukraine, and with the participation of the private sector and international organisations in the six Eastern Partner countries.</w:t>
      </w:r>
    </w:p>
    <w:p w14:paraId="1F39C3A7" w14:textId="77777777" w:rsidR="00BA006D" w:rsidRDefault="00BA006D" w:rsidP="00BA006D">
      <w:pPr>
        <w:pStyle w:val="Para0"/>
      </w:pPr>
      <w:r>
        <w:t xml:space="preserve">Representatives from several ministries, government agencies, private sector organisations, and other stakeholders should be acknowledged for their availability to meet with the OECD team and share valuable insights for the development of this note. </w:t>
      </w:r>
    </w:p>
    <w:p w14:paraId="061395CB" w14:textId="77777777" w:rsidR="00BA006D" w:rsidRDefault="00BA006D" w:rsidP="00BA006D">
      <w:pPr>
        <w:pStyle w:val="Para0"/>
      </w:pPr>
      <w:r>
        <w:t>This report was written under the guidance of Andreas Schaal (Director, OECD Global Relations), William Tompson (Head, OECD Eurasia Division) and Ana Novik (Head, OECD Investment Division).</w:t>
      </w:r>
    </w:p>
    <w:p w14:paraId="38664219" w14:textId="77777777" w:rsidR="00BA006D" w:rsidRDefault="00BA006D" w:rsidP="00BA006D">
      <w:pPr>
        <w:pStyle w:val="Para0"/>
      </w:pPr>
      <w:r>
        <w:t xml:space="preserve">This report was prepared by Iris Mantovani and Alessandra Celani de Macedo (OECD Investment Division), and </w:t>
      </w:r>
      <w:r w:rsidRPr="00B568E8">
        <w:t>Laure-Anne Courdesse</w:t>
      </w:r>
      <w:r w:rsidRPr="00B568E8" w:rsidDel="00B568E8">
        <w:t xml:space="preserve"> </w:t>
      </w:r>
      <w:r>
        <w:t xml:space="preserve">(OECD consultant), with valuable inputs from Fernando Mistura (OECD Investment Division), Peline Atamer and Fabio Ascione (OECD Global Relations Secretariat). The project was managed by Daniel Quadbeck (OECD Global Relations Secretariat) and benefitted from guidance from Stephen Thomsen and Martin Wermelinger (OECD Investment Division), and Frédéric Wehrlé (OECD Investment Division and OECD Centre for Responsible Conduct), and valuable comments from Alex de Crombrugghe (OECD Investment Division),and Froukje Boele, Tihana Bule and Coralie Martin (OECD Centre for Responsible Business Conduct). </w:t>
      </w:r>
    </w:p>
    <w:p w14:paraId="67EA85E6" w14:textId="5D952BB2" w:rsidR="00FB1D0F" w:rsidRDefault="00BA006D" w:rsidP="00BA006D">
      <w:pPr>
        <w:pStyle w:val="Para0"/>
      </w:pPr>
      <w:r>
        <w:t>Final editorial and visual support was provided by Arianna Ingle (OECD Directorate for Financial and Enterprise Affairs). Administrative support was provided by Ms Maria Ferreira and Ms Eugenia Klimenka from the OECD Eurasia Competitiveness Programme</w:t>
      </w:r>
      <w:r w:rsidR="00FB1D0F">
        <w:t>.</w:t>
      </w:r>
    </w:p>
    <w:bookmarkStart w:id="6" w:name="_Toc31228343" w:displacedByCustomXml="next"/>
    <w:sdt>
      <w:sdtPr>
        <w:rPr>
          <w:rFonts w:eastAsiaTheme="minorHAnsi" w:cstheme="minorBidi"/>
          <w:i w:val="0"/>
          <w:noProof/>
          <w:color w:val="auto"/>
          <w:sz w:val="22"/>
          <w:szCs w:val="22"/>
          <w:lang w:val="en-US"/>
        </w:rPr>
        <w:id w:val="146946635"/>
        <w:docPartObj>
          <w:docPartGallery w:val="Table of Contents"/>
          <w:docPartUnique/>
        </w:docPartObj>
      </w:sdtPr>
      <w:sdtEndPr>
        <w:rPr>
          <w:b/>
          <w:bCs/>
        </w:rPr>
      </w:sdtEndPr>
      <w:sdtContent>
        <w:p w14:paraId="2F7F26B5" w14:textId="6742AFDA" w:rsidR="00157F38" w:rsidRDefault="00157F38" w:rsidP="00263CAB">
          <w:pPr>
            <w:pStyle w:val="TOCHeading"/>
            <w:rPr>
              <w:noProof/>
              <w:lang w:val="en-US"/>
            </w:rPr>
          </w:pPr>
          <w:r>
            <w:rPr>
              <w:noProof/>
              <w:lang w:val="en-US"/>
            </w:rPr>
            <w:t>Table of Contents</w:t>
          </w:r>
        </w:p>
        <w:p w14:paraId="148A1A84" w14:textId="06BAF6EF" w:rsidR="00320849" w:rsidRDefault="00157F38">
          <w:pPr>
            <w:pStyle w:val="TOC1"/>
            <w:rPr>
              <w:rFonts w:asciiTheme="minorHAnsi" w:eastAsiaTheme="minorEastAsia" w:hAnsiTheme="minorHAnsi"/>
              <w:b w:val="0"/>
              <w:noProof/>
              <w:lang w:eastAsia="en-GB"/>
            </w:rPr>
          </w:pPr>
          <w:r>
            <w:rPr>
              <w:b w:val="0"/>
              <w:bCs/>
              <w:noProof/>
              <w:lang w:val="en-US"/>
            </w:rPr>
            <w:fldChar w:fldCharType="begin"/>
          </w:r>
          <w:r>
            <w:rPr>
              <w:bCs/>
              <w:noProof/>
              <w:lang w:val="en-US"/>
            </w:rPr>
            <w:instrText xml:space="preserve"> TOC \o "1-2" \h \z \t "Heading 6,1,Heading 7,1,Heading 8,2,Heading 9,2,Title,1,Annex H2,2" </w:instrText>
          </w:r>
          <w:r>
            <w:rPr>
              <w:b w:val="0"/>
              <w:bCs/>
              <w:noProof/>
              <w:lang w:val="en-US"/>
            </w:rPr>
            <w:fldChar w:fldCharType="separate"/>
          </w:r>
          <w:hyperlink w:anchor="_Toc33443282" w:history="1">
            <w:r w:rsidR="00320849" w:rsidRPr="00100459">
              <w:rPr>
                <w:rStyle w:val="Hyperlink"/>
                <w:noProof/>
              </w:rPr>
              <w:t>Foreword</w:t>
            </w:r>
            <w:r w:rsidR="00320849">
              <w:rPr>
                <w:noProof/>
                <w:webHidden/>
              </w:rPr>
              <w:tab/>
            </w:r>
            <w:r w:rsidR="00320849">
              <w:rPr>
                <w:noProof/>
                <w:webHidden/>
              </w:rPr>
              <w:fldChar w:fldCharType="begin"/>
            </w:r>
            <w:r w:rsidR="00320849">
              <w:rPr>
                <w:noProof/>
                <w:webHidden/>
              </w:rPr>
              <w:instrText xml:space="preserve"> PAGEREF _Toc33443282 \h </w:instrText>
            </w:r>
            <w:r w:rsidR="00320849">
              <w:rPr>
                <w:noProof/>
                <w:webHidden/>
              </w:rPr>
            </w:r>
            <w:r w:rsidR="00320849">
              <w:rPr>
                <w:noProof/>
                <w:webHidden/>
              </w:rPr>
              <w:fldChar w:fldCharType="separate"/>
            </w:r>
            <w:r w:rsidR="00320849">
              <w:rPr>
                <w:noProof/>
                <w:webHidden/>
              </w:rPr>
              <w:t>3</w:t>
            </w:r>
            <w:r w:rsidR="00320849">
              <w:rPr>
                <w:noProof/>
                <w:webHidden/>
              </w:rPr>
              <w:fldChar w:fldCharType="end"/>
            </w:r>
          </w:hyperlink>
        </w:p>
        <w:p w14:paraId="1127FDD7" w14:textId="3FF0ACD7" w:rsidR="00320849" w:rsidRDefault="000A7ECF">
          <w:pPr>
            <w:pStyle w:val="TOC1"/>
            <w:rPr>
              <w:rFonts w:asciiTheme="minorHAnsi" w:eastAsiaTheme="minorEastAsia" w:hAnsiTheme="minorHAnsi"/>
              <w:b w:val="0"/>
              <w:noProof/>
              <w:lang w:eastAsia="en-GB"/>
            </w:rPr>
          </w:pPr>
          <w:hyperlink w:anchor="_Toc33443283" w:history="1">
            <w:r w:rsidR="00320849" w:rsidRPr="00100459">
              <w:rPr>
                <w:rStyle w:val="Hyperlink"/>
                <w:noProof/>
              </w:rPr>
              <w:t>Acknowledgements</w:t>
            </w:r>
            <w:r w:rsidR="00320849">
              <w:rPr>
                <w:noProof/>
                <w:webHidden/>
              </w:rPr>
              <w:tab/>
            </w:r>
            <w:r w:rsidR="00320849">
              <w:rPr>
                <w:noProof/>
                <w:webHidden/>
              </w:rPr>
              <w:fldChar w:fldCharType="begin"/>
            </w:r>
            <w:r w:rsidR="00320849">
              <w:rPr>
                <w:noProof/>
                <w:webHidden/>
              </w:rPr>
              <w:instrText xml:space="preserve"> PAGEREF _Toc33443283 \h </w:instrText>
            </w:r>
            <w:r w:rsidR="00320849">
              <w:rPr>
                <w:noProof/>
                <w:webHidden/>
              </w:rPr>
            </w:r>
            <w:r w:rsidR="00320849">
              <w:rPr>
                <w:noProof/>
                <w:webHidden/>
              </w:rPr>
              <w:fldChar w:fldCharType="separate"/>
            </w:r>
            <w:r w:rsidR="00320849">
              <w:rPr>
                <w:noProof/>
                <w:webHidden/>
              </w:rPr>
              <w:t>4</w:t>
            </w:r>
            <w:r w:rsidR="00320849">
              <w:rPr>
                <w:noProof/>
                <w:webHidden/>
              </w:rPr>
              <w:fldChar w:fldCharType="end"/>
            </w:r>
          </w:hyperlink>
        </w:p>
        <w:p w14:paraId="4641EA4F" w14:textId="3916086C" w:rsidR="00320849" w:rsidRDefault="000A7ECF">
          <w:pPr>
            <w:pStyle w:val="TOC1"/>
            <w:rPr>
              <w:rFonts w:asciiTheme="minorHAnsi" w:eastAsiaTheme="minorEastAsia" w:hAnsiTheme="minorHAnsi"/>
              <w:b w:val="0"/>
              <w:noProof/>
              <w:lang w:eastAsia="en-GB"/>
            </w:rPr>
          </w:pPr>
          <w:hyperlink w:anchor="_Toc33443284" w:history="1">
            <w:r w:rsidR="00320849" w:rsidRPr="00100459">
              <w:rPr>
                <w:rStyle w:val="Hyperlink"/>
                <w:noProof/>
              </w:rPr>
              <w:t>Acronyms and Abbreviation</w:t>
            </w:r>
            <w:r w:rsidR="00320849">
              <w:rPr>
                <w:noProof/>
                <w:webHidden/>
              </w:rPr>
              <w:tab/>
            </w:r>
            <w:r w:rsidR="00320849">
              <w:rPr>
                <w:noProof/>
                <w:webHidden/>
              </w:rPr>
              <w:fldChar w:fldCharType="begin"/>
            </w:r>
            <w:r w:rsidR="00320849">
              <w:rPr>
                <w:noProof/>
                <w:webHidden/>
              </w:rPr>
              <w:instrText xml:space="preserve"> PAGEREF _Toc33443284 \h </w:instrText>
            </w:r>
            <w:r w:rsidR="00320849">
              <w:rPr>
                <w:noProof/>
                <w:webHidden/>
              </w:rPr>
            </w:r>
            <w:r w:rsidR="00320849">
              <w:rPr>
                <w:noProof/>
                <w:webHidden/>
              </w:rPr>
              <w:fldChar w:fldCharType="separate"/>
            </w:r>
            <w:r w:rsidR="00320849">
              <w:rPr>
                <w:noProof/>
                <w:webHidden/>
              </w:rPr>
              <w:t>7</w:t>
            </w:r>
            <w:r w:rsidR="00320849">
              <w:rPr>
                <w:noProof/>
                <w:webHidden/>
              </w:rPr>
              <w:fldChar w:fldCharType="end"/>
            </w:r>
          </w:hyperlink>
        </w:p>
        <w:p w14:paraId="69C6C44B" w14:textId="3ACEF8A3" w:rsidR="00320849" w:rsidRDefault="000A7ECF">
          <w:pPr>
            <w:pStyle w:val="TOC1"/>
            <w:rPr>
              <w:rFonts w:asciiTheme="minorHAnsi" w:eastAsiaTheme="minorEastAsia" w:hAnsiTheme="minorHAnsi"/>
              <w:b w:val="0"/>
              <w:noProof/>
              <w:lang w:eastAsia="en-GB"/>
            </w:rPr>
          </w:pPr>
          <w:hyperlink w:anchor="_Toc33443285" w:history="1">
            <w:r w:rsidR="00320849" w:rsidRPr="00100459">
              <w:rPr>
                <w:rStyle w:val="Hyperlink"/>
                <w:noProof/>
              </w:rPr>
              <w:t>Executive Summary</w:t>
            </w:r>
            <w:r w:rsidR="00320849">
              <w:rPr>
                <w:noProof/>
                <w:webHidden/>
              </w:rPr>
              <w:tab/>
            </w:r>
            <w:r w:rsidR="00320849">
              <w:rPr>
                <w:noProof/>
                <w:webHidden/>
              </w:rPr>
              <w:fldChar w:fldCharType="begin"/>
            </w:r>
            <w:r w:rsidR="00320849">
              <w:rPr>
                <w:noProof/>
                <w:webHidden/>
              </w:rPr>
              <w:instrText xml:space="preserve"> PAGEREF _Toc33443285 \h </w:instrText>
            </w:r>
            <w:r w:rsidR="00320849">
              <w:rPr>
                <w:noProof/>
                <w:webHidden/>
              </w:rPr>
            </w:r>
            <w:r w:rsidR="00320849">
              <w:rPr>
                <w:noProof/>
                <w:webHidden/>
              </w:rPr>
              <w:fldChar w:fldCharType="separate"/>
            </w:r>
            <w:r w:rsidR="00320849">
              <w:rPr>
                <w:noProof/>
                <w:webHidden/>
              </w:rPr>
              <w:t>8</w:t>
            </w:r>
            <w:r w:rsidR="00320849">
              <w:rPr>
                <w:noProof/>
                <w:webHidden/>
              </w:rPr>
              <w:fldChar w:fldCharType="end"/>
            </w:r>
          </w:hyperlink>
        </w:p>
        <w:p w14:paraId="09656B28" w14:textId="7EE3FBF2" w:rsidR="00320849" w:rsidRDefault="000A7ECF">
          <w:pPr>
            <w:pStyle w:val="TOC1"/>
            <w:rPr>
              <w:rFonts w:asciiTheme="minorHAnsi" w:eastAsiaTheme="minorEastAsia" w:hAnsiTheme="minorHAnsi"/>
              <w:b w:val="0"/>
              <w:noProof/>
              <w:lang w:eastAsia="en-GB"/>
            </w:rPr>
          </w:pPr>
          <w:hyperlink w:anchor="_Toc33443286" w:history="1">
            <w:r w:rsidR="00320849" w:rsidRPr="00100459">
              <w:rPr>
                <w:rStyle w:val="Hyperlink"/>
                <w:noProof/>
              </w:rPr>
              <w:t>1. FDI trends and sustainable development impacts</w:t>
            </w:r>
            <w:r w:rsidR="00320849">
              <w:rPr>
                <w:noProof/>
                <w:webHidden/>
              </w:rPr>
              <w:tab/>
            </w:r>
            <w:r w:rsidR="00320849">
              <w:rPr>
                <w:noProof/>
                <w:webHidden/>
              </w:rPr>
              <w:fldChar w:fldCharType="begin"/>
            </w:r>
            <w:r w:rsidR="00320849">
              <w:rPr>
                <w:noProof/>
                <w:webHidden/>
              </w:rPr>
              <w:instrText xml:space="preserve"> PAGEREF _Toc33443286 \h </w:instrText>
            </w:r>
            <w:r w:rsidR="00320849">
              <w:rPr>
                <w:noProof/>
                <w:webHidden/>
              </w:rPr>
            </w:r>
            <w:r w:rsidR="00320849">
              <w:rPr>
                <w:noProof/>
                <w:webHidden/>
              </w:rPr>
              <w:fldChar w:fldCharType="separate"/>
            </w:r>
            <w:r w:rsidR="00320849">
              <w:rPr>
                <w:noProof/>
                <w:webHidden/>
              </w:rPr>
              <w:t>11</w:t>
            </w:r>
            <w:r w:rsidR="00320849">
              <w:rPr>
                <w:noProof/>
                <w:webHidden/>
              </w:rPr>
              <w:fldChar w:fldCharType="end"/>
            </w:r>
          </w:hyperlink>
        </w:p>
        <w:p w14:paraId="12CCA551" w14:textId="1B8A2DE7" w:rsidR="00320849" w:rsidRDefault="000A7ECF">
          <w:pPr>
            <w:pStyle w:val="TOC2"/>
            <w:rPr>
              <w:rFonts w:asciiTheme="minorHAnsi" w:eastAsiaTheme="minorEastAsia" w:hAnsiTheme="minorHAnsi"/>
              <w:noProof/>
              <w:lang w:eastAsia="en-GB"/>
            </w:rPr>
          </w:pPr>
          <w:hyperlink w:anchor="_Toc33443287" w:history="1">
            <w:r w:rsidR="00320849" w:rsidRPr="00100459">
              <w:rPr>
                <w:rStyle w:val="Hyperlink"/>
                <w:noProof/>
              </w:rPr>
              <w:t>FDI in the regions remains below its potential</w:t>
            </w:r>
            <w:r w:rsidR="00320849">
              <w:rPr>
                <w:noProof/>
                <w:webHidden/>
              </w:rPr>
              <w:tab/>
            </w:r>
            <w:r w:rsidR="00320849">
              <w:rPr>
                <w:noProof/>
                <w:webHidden/>
              </w:rPr>
              <w:fldChar w:fldCharType="begin"/>
            </w:r>
            <w:r w:rsidR="00320849">
              <w:rPr>
                <w:noProof/>
                <w:webHidden/>
              </w:rPr>
              <w:instrText xml:space="preserve"> PAGEREF _Toc33443287 \h </w:instrText>
            </w:r>
            <w:r w:rsidR="00320849">
              <w:rPr>
                <w:noProof/>
                <w:webHidden/>
              </w:rPr>
            </w:r>
            <w:r w:rsidR="00320849">
              <w:rPr>
                <w:noProof/>
                <w:webHidden/>
              </w:rPr>
              <w:fldChar w:fldCharType="separate"/>
            </w:r>
            <w:r w:rsidR="00320849">
              <w:rPr>
                <w:noProof/>
                <w:webHidden/>
              </w:rPr>
              <w:t>11</w:t>
            </w:r>
            <w:r w:rsidR="00320849">
              <w:rPr>
                <w:noProof/>
                <w:webHidden/>
              </w:rPr>
              <w:fldChar w:fldCharType="end"/>
            </w:r>
          </w:hyperlink>
        </w:p>
        <w:p w14:paraId="4FEEC85A" w14:textId="0094A875" w:rsidR="00320849" w:rsidRDefault="000A7ECF">
          <w:pPr>
            <w:pStyle w:val="TOC2"/>
            <w:rPr>
              <w:rFonts w:asciiTheme="minorHAnsi" w:eastAsiaTheme="minorEastAsia" w:hAnsiTheme="minorHAnsi"/>
              <w:noProof/>
              <w:lang w:eastAsia="en-GB"/>
            </w:rPr>
          </w:pPr>
          <w:hyperlink w:anchor="_Toc33443288" w:history="1">
            <w:r w:rsidR="00320849" w:rsidRPr="00100459">
              <w:rPr>
                <w:rStyle w:val="Hyperlink"/>
                <w:noProof/>
              </w:rPr>
              <w:t>Foreign investors contribute to innovation capacity</w:t>
            </w:r>
            <w:r w:rsidR="00320849">
              <w:rPr>
                <w:noProof/>
                <w:webHidden/>
              </w:rPr>
              <w:tab/>
            </w:r>
            <w:r w:rsidR="00320849">
              <w:rPr>
                <w:noProof/>
                <w:webHidden/>
              </w:rPr>
              <w:fldChar w:fldCharType="begin"/>
            </w:r>
            <w:r w:rsidR="00320849">
              <w:rPr>
                <w:noProof/>
                <w:webHidden/>
              </w:rPr>
              <w:instrText xml:space="preserve"> PAGEREF _Toc33443288 \h </w:instrText>
            </w:r>
            <w:r w:rsidR="00320849">
              <w:rPr>
                <w:noProof/>
                <w:webHidden/>
              </w:rPr>
            </w:r>
            <w:r w:rsidR="00320849">
              <w:rPr>
                <w:noProof/>
                <w:webHidden/>
              </w:rPr>
              <w:fldChar w:fldCharType="separate"/>
            </w:r>
            <w:r w:rsidR="00320849">
              <w:rPr>
                <w:noProof/>
                <w:webHidden/>
              </w:rPr>
              <w:t>14</w:t>
            </w:r>
            <w:r w:rsidR="00320849">
              <w:rPr>
                <w:noProof/>
                <w:webHidden/>
              </w:rPr>
              <w:fldChar w:fldCharType="end"/>
            </w:r>
          </w:hyperlink>
        </w:p>
        <w:p w14:paraId="1688F9D1" w14:textId="267E0E08" w:rsidR="00320849" w:rsidRDefault="000A7ECF">
          <w:pPr>
            <w:pStyle w:val="TOC2"/>
            <w:rPr>
              <w:rFonts w:asciiTheme="minorHAnsi" w:eastAsiaTheme="minorEastAsia" w:hAnsiTheme="minorHAnsi"/>
              <w:noProof/>
              <w:lang w:eastAsia="en-GB"/>
            </w:rPr>
          </w:pPr>
          <w:hyperlink w:anchor="_Toc33443289" w:history="1">
            <w:r w:rsidR="00320849" w:rsidRPr="00100459">
              <w:rPr>
                <w:rStyle w:val="Hyperlink"/>
                <w:noProof/>
              </w:rPr>
              <w:t>Annex 1.A. Sectoral composition of FDI by country</w:t>
            </w:r>
            <w:r w:rsidR="00320849">
              <w:rPr>
                <w:noProof/>
                <w:webHidden/>
              </w:rPr>
              <w:tab/>
            </w:r>
            <w:r w:rsidR="00320849">
              <w:rPr>
                <w:noProof/>
                <w:webHidden/>
              </w:rPr>
              <w:fldChar w:fldCharType="begin"/>
            </w:r>
            <w:r w:rsidR="00320849">
              <w:rPr>
                <w:noProof/>
                <w:webHidden/>
              </w:rPr>
              <w:instrText xml:space="preserve"> PAGEREF _Toc33443289 \h </w:instrText>
            </w:r>
            <w:r w:rsidR="00320849">
              <w:rPr>
                <w:noProof/>
                <w:webHidden/>
              </w:rPr>
            </w:r>
            <w:r w:rsidR="00320849">
              <w:rPr>
                <w:noProof/>
                <w:webHidden/>
              </w:rPr>
              <w:fldChar w:fldCharType="separate"/>
            </w:r>
            <w:r w:rsidR="00320849">
              <w:rPr>
                <w:noProof/>
                <w:webHidden/>
              </w:rPr>
              <w:t>17</w:t>
            </w:r>
            <w:r w:rsidR="00320849">
              <w:rPr>
                <w:noProof/>
                <w:webHidden/>
              </w:rPr>
              <w:fldChar w:fldCharType="end"/>
            </w:r>
          </w:hyperlink>
        </w:p>
        <w:p w14:paraId="1FE48797" w14:textId="3CB0F74D" w:rsidR="00320849" w:rsidRDefault="000A7ECF">
          <w:pPr>
            <w:pStyle w:val="TOC1"/>
            <w:rPr>
              <w:rFonts w:asciiTheme="minorHAnsi" w:eastAsiaTheme="minorEastAsia" w:hAnsiTheme="minorHAnsi"/>
              <w:b w:val="0"/>
              <w:noProof/>
              <w:lang w:eastAsia="en-GB"/>
            </w:rPr>
          </w:pPr>
          <w:hyperlink w:anchor="_Toc33443290" w:history="1">
            <w:r w:rsidR="00320849" w:rsidRPr="00100459">
              <w:rPr>
                <w:rStyle w:val="Hyperlink"/>
                <w:noProof/>
              </w:rPr>
              <w:t>2. FDI liberalisation</w:t>
            </w:r>
            <w:r w:rsidR="00320849">
              <w:rPr>
                <w:noProof/>
                <w:webHidden/>
              </w:rPr>
              <w:tab/>
            </w:r>
            <w:r w:rsidR="00320849">
              <w:rPr>
                <w:noProof/>
                <w:webHidden/>
              </w:rPr>
              <w:fldChar w:fldCharType="begin"/>
            </w:r>
            <w:r w:rsidR="00320849">
              <w:rPr>
                <w:noProof/>
                <w:webHidden/>
              </w:rPr>
              <w:instrText xml:space="preserve"> PAGEREF _Toc33443290 \h </w:instrText>
            </w:r>
            <w:r w:rsidR="00320849">
              <w:rPr>
                <w:noProof/>
                <w:webHidden/>
              </w:rPr>
            </w:r>
            <w:r w:rsidR="00320849">
              <w:rPr>
                <w:noProof/>
                <w:webHidden/>
              </w:rPr>
              <w:fldChar w:fldCharType="separate"/>
            </w:r>
            <w:r w:rsidR="00320849">
              <w:rPr>
                <w:noProof/>
                <w:webHidden/>
              </w:rPr>
              <w:t>18</w:t>
            </w:r>
            <w:r w:rsidR="00320849">
              <w:rPr>
                <w:noProof/>
                <w:webHidden/>
              </w:rPr>
              <w:fldChar w:fldCharType="end"/>
            </w:r>
          </w:hyperlink>
        </w:p>
        <w:p w14:paraId="1D327C55" w14:textId="213AC085" w:rsidR="00320849" w:rsidRDefault="000A7ECF">
          <w:pPr>
            <w:pStyle w:val="TOC2"/>
            <w:rPr>
              <w:rFonts w:asciiTheme="minorHAnsi" w:eastAsiaTheme="minorEastAsia" w:hAnsiTheme="minorHAnsi"/>
              <w:noProof/>
              <w:lang w:eastAsia="en-GB"/>
            </w:rPr>
          </w:pPr>
          <w:hyperlink w:anchor="_Toc33443291" w:history="1">
            <w:r w:rsidR="00320849" w:rsidRPr="00100459">
              <w:rPr>
                <w:rStyle w:val="Hyperlink"/>
                <w:noProof/>
              </w:rPr>
              <w:t>Main findings</w:t>
            </w:r>
            <w:r w:rsidR="00320849">
              <w:rPr>
                <w:noProof/>
                <w:webHidden/>
              </w:rPr>
              <w:tab/>
            </w:r>
            <w:r w:rsidR="00320849">
              <w:rPr>
                <w:noProof/>
                <w:webHidden/>
              </w:rPr>
              <w:fldChar w:fldCharType="begin"/>
            </w:r>
            <w:r w:rsidR="00320849">
              <w:rPr>
                <w:noProof/>
                <w:webHidden/>
              </w:rPr>
              <w:instrText xml:space="preserve"> PAGEREF _Toc33443291 \h </w:instrText>
            </w:r>
            <w:r w:rsidR="00320849">
              <w:rPr>
                <w:noProof/>
                <w:webHidden/>
              </w:rPr>
            </w:r>
            <w:r w:rsidR="00320849">
              <w:rPr>
                <w:noProof/>
                <w:webHidden/>
              </w:rPr>
              <w:fldChar w:fldCharType="separate"/>
            </w:r>
            <w:r w:rsidR="00320849">
              <w:rPr>
                <w:noProof/>
                <w:webHidden/>
              </w:rPr>
              <w:t>18</w:t>
            </w:r>
            <w:r w:rsidR="00320849">
              <w:rPr>
                <w:noProof/>
                <w:webHidden/>
              </w:rPr>
              <w:fldChar w:fldCharType="end"/>
            </w:r>
          </w:hyperlink>
        </w:p>
        <w:p w14:paraId="34D87F81" w14:textId="164A9A18" w:rsidR="00320849" w:rsidRDefault="000A7ECF">
          <w:pPr>
            <w:pStyle w:val="TOC2"/>
            <w:rPr>
              <w:rFonts w:asciiTheme="minorHAnsi" w:eastAsiaTheme="minorEastAsia" w:hAnsiTheme="minorHAnsi"/>
              <w:noProof/>
              <w:lang w:eastAsia="en-GB"/>
            </w:rPr>
          </w:pPr>
          <w:hyperlink w:anchor="_Toc33443292" w:history="1">
            <w:r w:rsidR="00320849" w:rsidRPr="00100459">
              <w:rPr>
                <w:rStyle w:val="Hyperlink"/>
                <w:noProof/>
              </w:rPr>
              <w:t>Markets are open and exceptions to national treatment are limited</w:t>
            </w:r>
            <w:r w:rsidR="00320849">
              <w:rPr>
                <w:noProof/>
                <w:webHidden/>
              </w:rPr>
              <w:tab/>
            </w:r>
            <w:r w:rsidR="00320849">
              <w:rPr>
                <w:noProof/>
                <w:webHidden/>
              </w:rPr>
              <w:fldChar w:fldCharType="begin"/>
            </w:r>
            <w:r w:rsidR="00320849">
              <w:rPr>
                <w:noProof/>
                <w:webHidden/>
              </w:rPr>
              <w:instrText xml:space="preserve"> PAGEREF _Toc33443292 \h </w:instrText>
            </w:r>
            <w:r w:rsidR="00320849">
              <w:rPr>
                <w:noProof/>
                <w:webHidden/>
              </w:rPr>
            </w:r>
            <w:r w:rsidR="00320849">
              <w:rPr>
                <w:noProof/>
                <w:webHidden/>
              </w:rPr>
              <w:fldChar w:fldCharType="separate"/>
            </w:r>
            <w:r w:rsidR="00320849">
              <w:rPr>
                <w:noProof/>
                <w:webHidden/>
              </w:rPr>
              <w:t>18</w:t>
            </w:r>
            <w:r w:rsidR="00320849">
              <w:rPr>
                <w:noProof/>
                <w:webHidden/>
              </w:rPr>
              <w:fldChar w:fldCharType="end"/>
            </w:r>
          </w:hyperlink>
        </w:p>
        <w:p w14:paraId="70A03B4C" w14:textId="4085B5A3" w:rsidR="00320849" w:rsidRDefault="000A7ECF">
          <w:pPr>
            <w:pStyle w:val="TOC1"/>
            <w:rPr>
              <w:rFonts w:asciiTheme="minorHAnsi" w:eastAsiaTheme="minorEastAsia" w:hAnsiTheme="minorHAnsi"/>
              <w:b w:val="0"/>
              <w:noProof/>
              <w:lang w:eastAsia="en-GB"/>
            </w:rPr>
          </w:pPr>
          <w:hyperlink w:anchor="_Toc33443293" w:history="1">
            <w:r w:rsidR="00320849" w:rsidRPr="00100459">
              <w:rPr>
                <w:rStyle w:val="Hyperlink"/>
                <w:noProof/>
              </w:rPr>
              <w:t>3. Investment promotion and facilitation</w:t>
            </w:r>
            <w:r w:rsidR="00320849">
              <w:rPr>
                <w:noProof/>
                <w:webHidden/>
              </w:rPr>
              <w:tab/>
            </w:r>
            <w:r w:rsidR="00320849">
              <w:rPr>
                <w:noProof/>
                <w:webHidden/>
              </w:rPr>
              <w:fldChar w:fldCharType="begin"/>
            </w:r>
            <w:r w:rsidR="00320849">
              <w:rPr>
                <w:noProof/>
                <w:webHidden/>
              </w:rPr>
              <w:instrText xml:space="preserve"> PAGEREF _Toc33443293 \h </w:instrText>
            </w:r>
            <w:r w:rsidR="00320849">
              <w:rPr>
                <w:noProof/>
                <w:webHidden/>
              </w:rPr>
            </w:r>
            <w:r w:rsidR="00320849">
              <w:rPr>
                <w:noProof/>
                <w:webHidden/>
              </w:rPr>
              <w:fldChar w:fldCharType="separate"/>
            </w:r>
            <w:r w:rsidR="00320849">
              <w:rPr>
                <w:noProof/>
                <w:webHidden/>
              </w:rPr>
              <w:t>24</w:t>
            </w:r>
            <w:r w:rsidR="00320849">
              <w:rPr>
                <w:noProof/>
                <w:webHidden/>
              </w:rPr>
              <w:fldChar w:fldCharType="end"/>
            </w:r>
          </w:hyperlink>
        </w:p>
        <w:p w14:paraId="4E0FBEBB" w14:textId="2042CCEC" w:rsidR="00320849" w:rsidRDefault="000A7ECF">
          <w:pPr>
            <w:pStyle w:val="TOC2"/>
            <w:rPr>
              <w:rFonts w:asciiTheme="minorHAnsi" w:eastAsiaTheme="minorEastAsia" w:hAnsiTheme="minorHAnsi"/>
              <w:noProof/>
              <w:lang w:eastAsia="en-GB"/>
            </w:rPr>
          </w:pPr>
          <w:hyperlink w:anchor="_Toc33443294" w:history="1">
            <w:r w:rsidR="00320849" w:rsidRPr="00100459">
              <w:rPr>
                <w:rStyle w:val="Hyperlink"/>
                <w:noProof/>
              </w:rPr>
              <w:t>Main findings</w:t>
            </w:r>
            <w:r w:rsidR="00320849">
              <w:rPr>
                <w:noProof/>
                <w:webHidden/>
              </w:rPr>
              <w:tab/>
            </w:r>
            <w:r w:rsidR="00320849">
              <w:rPr>
                <w:noProof/>
                <w:webHidden/>
              </w:rPr>
              <w:fldChar w:fldCharType="begin"/>
            </w:r>
            <w:r w:rsidR="00320849">
              <w:rPr>
                <w:noProof/>
                <w:webHidden/>
              </w:rPr>
              <w:instrText xml:space="preserve"> PAGEREF _Toc33443294 \h </w:instrText>
            </w:r>
            <w:r w:rsidR="00320849">
              <w:rPr>
                <w:noProof/>
                <w:webHidden/>
              </w:rPr>
            </w:r>
            <w:r w:rsidR="00320849">
              <w:rPr>
                <w:noProof/>
                <w:webHidden/>
              </w:rPr>
              <w:fldChar w:fldCharType="separate"/>
            </w:r>
            <w:r w:rsidR="00320849">
              <w:rPr>
                <w:noProof/>
                <w:webHidden/>
              </w:rPr>
              <w:t>24</w:t>
            </w:r>
            <w:r w:rsidR="00320849">
              <w:rPr>
                <w:noProof/>
                <w:webHidden/>
              </w:rPr>
              <w:fldChar w:fldCharType="end"/>
            </w:r>
          </w:hyperlink>
        </w:p>
        <w:p w14:paraId="4D14E9F8" w14:textId="46027077" w:rsidR="00320849" w:rsidRDefault="000A7ECF">
          <w:pPr>
            <w:pStyle w:val="TOC2"/>
            <w:rPr>
              <w:rFonts w:asciiTheme="minorHAnsi" w:eastAsiaTheme="minorEastAsia" w:hAnsiTheme="minorHAnsi"/>
              <w:noProof/>
              <w:lang w:eastAsia="en-GB"/>
            </w:rPr>
          </w:pPr>
          <w:hyperlink w:anchor="_Toc33443295" w:history="1">
            <w:r w:rsidR="00320849" w:rsidRPr="00100459">
              <w:rPr>
                <w:rStyle w:val="Hyperlink"/>
                <w:noProof/>
              </w:rPr>
              <w:t>The institutional framework for investment promotion and facilitation</w:t>
            </w:r>
            <w:r w:rsidR="00320849">
              <w:rPr>
                <w:noProof/>
                <w:webHidden/>
              </w:rPr>
              <w:tab/>
            </w:r>
            <w:r w:rsidR="00320849">
              <w:rPr>
                <w:noProof/>
                <w:webHidden/>
              </w:rPr>
              <w:fldChar w:fldCharType="begin"/>
            </w:r>
            <w:r w:rsidR="00320849">
              <w:rPr>
                <w:noProof/>
                <w:webHidden/>
              </w:rPr>
              <w:instrText xml:space="preserve"> PAGEREF _Toc33443295 \h </w:instrText>
            </w:r>
            <w:r w:rsidR="00320849">
              <w:rPr>
                <w:noProof/>
                <w:webHidden/>
              </w:rPr>
            </w:r>
            <w:r w:rsidR="00320849">
              <w:rPr>
                <w:noProof/>
                <w:webHidden/>
              </w:rPr>
              <w:fldChar w:fldCharType="separate"/>
            </w:r>
            <w:r w:rsidR="00320849">
              <w:rPr>
                <w:noProof/>
                <w:webHidden/>
              </w:rPr>
              <w:t>25</w:t>
            </w:r>
            <w:r w:rsidR="00320849">
              <w:rPr>
                <w:noProof/>
                <w:webHidden/>
              </w:rPr>
              <w:fldChar w:fldCharType="end"/>
            </w:r>
          </w:hyperlink>
        </w:p>
        <w:p w14:paraId="3660A75C" w14:textId="59622F1F" w:rsidR="00320849" w:rsidRDefault="000A7ECF">
          <w:pPr>
            <w:pStyle w:val="TOC2"/>
            <w:rPr>
              <w:rFonts w:asciiTheme="minorHAnsi" w:eastAsiaTheme="minorEastAsia" w:hAnsiTheme="minorHAnsi"/>
              <w:noProof/>
              <w:lang w:eastAsia="en-GB"/>
            </w:rPr>
          </w:pPr>
          <w:hyperlink w:anchor="_Toc33443296" w:history="1">
            <w:r w:rsidR="00320849" w:rsidRPr="00100459">
              <w:rPr>
                <w:rStyle w:val="Hyperlink"/>
                <w:noProof/>
              </w:rPr>
              <w:t>Investment promotion requires a clear and well-defined strategy</w:t>
            </w:r>
            <w:r w:rsidR="00320849">
              <w:rPr>
                <w:noProof/>
                <w:webHidden/>
              </w:rPr>
              <w:tab/>
            </w:r>
            <w:r w:rsidR="00320849">
              <w:rPr>
                <w:noProof/>
                <w:webHidden/>
              </w:rPr>
              <w:fldChar w:fldCharType="begin"/>
            </w:r>
            <w:r w:rsidR="00320849">
              <w:rPr>
                <w:noProof/>
                <w:webHidden/>
              </w:rPr>
              <w:instrText xml:space="preserve"> PAGEREF _Toc33443296 \h </w:instrText>
            </w:r>
            <w:r w:rsidR="00320849">
              <w:rPr>
                <w:noProof/>
                <w:webHidden/>
              </w:rPr>
            </w:r>
            <w:r w:rsidR="00320849">
              <w:rPr>
                <w:noProof/>
                <w:webHidden/>
              </w:rPr>
              <w:fldChar w:fldCharType="separate"/>
            </w:r>
            <w:r w:rsidR="00320849">
              <w:rPr>
                <w:noProof/>
                <w:webHidden/>
              </w:rPr>
              <w:t>32</w:t>
            </w:r>
            <w:r w:rsidR="00320849">
              <w:rPr>
                <w:noProof/>
                <w:webHidden/>
              </w:rPr>
              <w:fldChar w:fldCharType="end"/>
            </w:r>
          </w:hyperlink>
        </w:p>
        <w:p w14:paraId="35014D37" w14:textId="50983949" w:rsidR="00320849" w:rsidRDefault="000A7ECF">
          <w:pPr>
            <w:pStyle w:val="TOC2"/>
            <w:rPr>
              <w:rFonts w:asciiTheme="minorHAnsi" w:eastAsiaTheme="minorEastAsia" w:hAnsiTheme="minorHAnsi"/>
              <w:noProof/>
              <w:lang w:eastAsia="en-GB"/>
            </w:rPr>
          </w:pPr>
          <w:hyperlink w:anchor="_Toc33443297" w:history="1">
            <w:r w:rsidR="00320849" w:rsidRPr="00100459">
              <w:rPr>
                <w:rStyle w:val="Hyperlink"/>
                <w:noProof/>
              </w:rPr>
              <w:t>Investment facilitation and retention measures have improved</w:t>
            </w:r>
            <w:r w:rsidR="00320849">
              <w:rPr>
                <w:noProof/>
                <w:webHidden/>
              </w:rPr>
              <w:tab/>
            </w:r>
            <w:r w:rsidR="00320849">
              <w:rPr>
                <w:noProof/>
                <w:webHidden/>
              </w:rPr>
              <w:fldChar w:fldCharType="begin"/>
            </w:r>
            <w:r w:rsidR="00320849">
              <w:rPr>
                <w:noProof/>
                <w:webHidden/>
              </w:rPr>
              <w:instrText xml:space="preserve"> PAGEREF _Toc33443297 \h </w:instrText>
            </w:r>
            <w:r w:rsidR="00320849">
              <w:rPr>
                <w:noProof/>
                <w:webHidden/>
              </w:rPr>
            </w:r>
            <w:r w:rsidR="00320849">
              <w:rPr>
                <w:noProof/>
                <w:webHidden/>
              </w:rPr>
              <w:fldChar w:fldCharType="separate"/>
            </w:r>
            <w:r w:rsidR="00320849">
              <w:rPr>
                <w:noProof/>
                <w:webHidden/>
              </w:rPr>
              <w:t>35</w:t>
            </w:r>
            <w:r w:rsidR="00320849">
              <w:rPr>
                <w:noProof/>
                <w:webHidden/>
              </w:rPr>
              <w:fldChar w:fldCharType="end"/>
            </w:r>
          </w:hyperlink>
        </w:p>
        <w:p w14:paraId="0DFBF3D3" w14:textId="2947EB80" w:rsidR="00320849" w:rsidRDefault="000A7ECF">
          <w:pPr>
            <w:pStyle w:val="TOC2"/>
            <w:rPr>
              <w:rFonts w:asciiTheme="minorHAnsi" w:eastAsiaTheme="minorEastAsia" w:hAnsiTheme="minorHAnsi"/>
              <w:noProof/>
              <w:lang w:eastAsia="en-GB"/>
            </w:rPr>
          </w:pPr>
          <w:hyperlink w:anchor="_Toc33443298" w:history="1">
            <w:r w:rsidR="00320849" w:rsidRPr="00100459">
              <w:rPr>
                <w:rStyle w:val="Hyperlink"/>
                <w:noProof/>
              </w:rPr>
              <w:t>Annex 3.A. Comparative overview of investment strategies</w:t>
            </w:r>
            <w:r w:rsidR="00320849">
              <w:rPr>
                <w:noProof/>
                <w:webHidden/>
              </w:rPr>
              <w:tab/>
            </w:r>
            <w:r w:rsidR="00320849">
              <w:rPr>
                <w:noProof/>
                <w:webHidden/>
              </w:rPr>
              <w:fldChar w:fldCharType="begin"/>
            </w:r>
            <w:r w:rsidR="00320849">
              <w:rPr>
                <w:noProof/>
                <w:webHidden/>
              </w:rPr>
              <w:instrText xml:space="preserve"> PAGEREF _Toc33443298 \h </w:instrText>
            </w:r>
            <w:r w:rsidR="00320849">
              <w:rPr>
                <w:noProof/>
                <w:webHidden/>
              </w:rPr>
            </w:r>
            <w:r w:rsidR="00320849">
              <w:rPr>
                <w:noProof/>
                <w:webHidden/>
              </w:rPr>
              <w:fldChar w:fldCharType="separate"/>
            </w:r>
            <w:r w:rsidR="00320849">
              <w:rPr>
                <w:noProof/>
                <w:webHidden/>
              </w:rPr>
              <w:t>40</w:t>
            </w:r>
            <w:r w:rsidR="00320849">
              <w:rPr>
                <w:noProof/>
                <w:webHidden/>
              </w:rPr>
              <w:fldChar w:fldCharType="end"/>
            </w:r>
          </w:hyperlink>
        </w:p>
        <w:p w14:paraId="15C5AC03" w14:textId="701E2E1D" w:rsidR="00320849" w:rsidRDefault="000A7ECF">
          <w:pPr>
            <w:pStyle w:val="TOC1"/>
            <w:rPr>
              <w:rFonts w:asciiTheme="minorHAnsi" w:eastAsiaTheme="minorEastAsia" w:hAnsiTheme="minorHAnsi"/>
              <w:b w:val="0"/>
              <w:noProof/>
              <w:lang w:eastAsia="en-GB"/>
            </w:rPr>
          </w:pPr>
          <w:hyperlink w:anchor="_Toc33443299" w:history="1">
            <w:r w:rsidR="00320849" w:rsidRPr="00100459">
              <w:rPr>
                <w:rStyle w:val="Hyperlink"/>
                <w:noProof/>
              </w:rPr>
              <w:t>4. Making better use of tax incentives</w:t>
            </w:r>
            <w:r w:rsidR="00320849">
              <w:rPr>
                <w:noProof/>
                <w:webHidden/>
              </w:rPr>
              <w:tab/>
            </w:r>
            <w:r w:rsidR="00320849">
              <w:rPr>
                <w:noProof/>
                <w:webHidden/>
              </w:rPr>
              <w:fldChar w:fldCharType="begin"/>
            </w:r>
            <w:r w:rsidR="00320849">
              <w:rPr>
                <w:noProof/>
                <w:webHidden/>
              </w:rPr>
              <w:instrText xml:space="preserve"> PAGEREF _Toc33443299 \h </w:instrText>
            </w:r>
            <w:r w:rsidR="00320849">
              <w:rPr>
                <w:noProof/>
                <w:webHidden/>
              </w:rPr>
            </w:r>
            <w:r w:rsidR="00320849">
              <w:rPr>
                <w:noProof/>
                <w:webHidden/>
              </w:rPr>
              <w:fldChar w:fldCharType="separate"/>
            </w:r>
            <w:r w:rsidR="00320849">
              <w:rPr>
                <w:noProof/>
                <w:webHidden/>
              </w:rPr>
              <w:t>41</w:t>
            </w:r>
            <w:r w:rsidR="00320849">
              <w:rPr>
                <w:noProof/>
                <w:webHidden/>
              </w:rPr>
              <w:fldChar w:fldCharType="end"/>
            </w:r>
          </w:hyperlink>
        </w:p>
        <w:p w14:paraId="5B64B812" w14:textId="7AD01729" w:rsidR="00320849" w:rsidRDefault="000A7ECF">
          <w:pPr>
            <w:pStyle w:val="TOC2"/>
            <w:rPr>
              <w:rFonts w:asciiTheme="minorHAnsi" w:eastAsiaTheme="minorEastAsia" w:hAnsiTheme="minorHAnsi"/>
              <w:noProof/>
              <w:lang w:eastAsia="en-GB"/>
            </w:rPr>
          </w:pPr>
          <w:hyperlink w:anchor="_Toc33443300" w:history="1">
            <w:r w:rsidR="00320849" w:rsidRPr="00100459">
              <w:rPr>
                <w:rStyle w:val="Hyperlink"/>
                <w:noProof/>
              </w:rPr>
              <w:t>Main findings</w:t>
            </w:r>
            <w:r w:rsidR="00320849">
              <w:rPr>
                <w:noProof/>
                <w:webHidden/>
              </w:rPr>
              <w:tab/>
            </w:r>
            <w:r w:rsidR="00320849">
              <w:rPr>
                <w:noProof/>
                <w:webHidden/>
              </w:rPr>
              <w:fldChar w:fldCharType="begin"/>
            </w:r>
            <w:r w:rsidR="00320849">
              <w:rPr>
                <w:noProof/>
                <w:webHidden/>
              </w:rPr>
              <w:instrText xml:space="preserve"> PAGEREF _Toc33443300 \h </w:instrText>
            </w:r>
            <w:r w:rsidR="00320849">
              <w:rPr>
                <w:noProof/>
                <w:webHidden/>
              </w:rPr>
            </w:r>
            <w:r w:rsidR="00320849">
              <w:rPr>
                <w:noProof/>
                <w:webHidden/>
              </w:rPr>
              <w:fldChar w:fldCharType="separate"/>
            </w:r>
            <w:r w:rsidR="00320849">
              <w:rPr>
                <w:noProof/>
                <w:webHidden/>
              </w:rPr>
              <w:t>41</w:t>
            </w:r>
            <w:r w:rsidR="00320849">
              <w:rPr>
                <w:noProof/>
                <w:webHidden/>
              </w:rPr>
              <w:fldChar w:fldCharType="end"/>
            </w:r>
          </w:hyperlink>
        </w:p>
        <w:p w14:paraId="41F6613B" w14:textId="497FE8A3" w:rsidR="00320849" w:rsidRDefault="000A7ECF">
          <w:pPr>
            <w:pStyle w:val="TOC2"/>
            <w:rPr>
              <w:rFonts w:asciiTheme="minorHAnsi" w:eastAsiaTheme="minorEastAsia" w:hAnsiTheme="minorHAnsi"/>
              <w:noProof/>
              <w:lang w:eastAsia="en-GB"/>
            </w:rPr>
          </w:pPr>
          <w:hyperlink w:anchor="_Toc33443301" w:history="1">
            <w:r w:rsidR="00320849" w:rsidRPr="00100459">
              <w:rPr>
                <w:rStyle w:val="Hyperlink"/>
                <w:noProof/>
              </w:rPr>
              <w:t>Investment tax incentives are costly</w:t>
            </w:r>
            <w:r w:rsidR="00320849">
              <w:rPr>
                <w:noProof/>
                <w:webHidden/>
              </w:rPr>
              <w:tab/>
            </w:r>
            <w:r w:rsidR="00320849">
              <w:rPr>
                <w:noProof/>
                <w:webHidden/>
              </w:rPr>
              <w:fldChar w:fldCharType="begin"/>
            </w:r>
            <w:r w:rsidR="00320849">
              <w:rPr>
                <w:noProof/>
                <w:webHidden/>
              </w:rPr>
              <w:instrText xml:space="preserve"> PAGEREF _Toc33443301 \h </w:instrText>
            </w:r>
            <w:r w:rsidR="00320849">
              <w:rPr>
                <w:noProof/>
                <w:webHidden/>
              </w:rPr>
            </w:r>
            <w:r w:rsidR="00320849">
              <w:rPr>
                <w:noProof/>
                <w:webHidden/>
              </w:rPr>
              <w:fldChar w:fldCharType="separate"/>
            </w:r>
            <w:r w:rsidR="00320849">
              <w:rPr>
                <w:noProof/>
                <w:webHidden/>
              </w:rPr>
              <w:t>42</w:t>
            </w:r>
            <w:r w:rsidR="00320849">
              <w:rPr>
                <w:noProof/>
                <w:webHidden/>
              </w:rPr>
              <w:fldChar w:fldCharType="end"/>
            </w:r>
          </w:hyperlink>
        </w:p>
        <w:p w14:paraId="23FCF458" w14:textId="6E9CF037" w:rsidR="00320849" w:rsidRDefault="000A7ECF">
          <w:pPr>
            <w:pStyle w:val="TOC2"/>
            <w:rPr>
              <w:rFonts w:asciiTheme="minorHAnsi" w:eastAsiaTheme="minorEastAsia" w:hAnsiTheme="minorHAnsi"/>
              <w:noProof/>
              <w:lang w:eastAsia="en-GB"/>
            </w:rPr>
          </w:pPr>
          <w:hyperlink w:anchor="_Toc33443302" w:history="1">
            <w:r w:rsidR="00320849" w:rsidRPr="00100459">
              <w:rPr>
                <w:rStyle w:val="Hyperlink"/>
                <w:noProof/>
              </w:rPr>
              <w:t>Corporate taxes are relatively low in the region</w:t>
            </w:r>
            <w:r w:rsidR="00320849">
              <w:rPr>
                <w:noProof/>
                <w:webHidden/>
              </w:rPr>
              <w:tab/>
            </w:r>
            <w:r w:rsidR="00320849">
              <w:rPr>
                <w:noProof/>
                <w:webHidden/>
              </w:rPr>
              <w:fldChar w:fldCharType="begin"/>
            </w:r>
            <w:r w:rsidR="00320849">
              <w:rPr>
                <w:noProof/>
                <w:webHidden/>
              </w:rPr>
              <w:instrText xml:space="preserve"> PAGEREF _Toc33443302 \h </w:instrText>
            </w:r>
            <w:r w:rsidR="00320849">
              <w:rPr>
                <w:noProof/>
                <w:webHidden/>
              </w:rPr>
            </w:r>
            <w:r w:rsidR="00320849">
              <w:rPr>
                <w:noProof/>
                <w:webHidden/>
              </w:rPr>
              <w:fldChar w:fldCharType="separate"/>
            </w:r>
            <w:r w:rsidR="00320849">
              <w:rPr>
                <w:noProof/>
                <w:webHidden/>
              </w:rPr>
              <w:t>43</w:t>
            </w:r>
            <w:r w:rsidR="00320849">
              <w:rPr>
                <w:noProof/>
                <w:webHidden/>
              </w:rPr>
              <w:fldChar w:fldCharType="end"/>
            </w:r>
          </w:hyperlink>
        </w:p>
        <w:p w14:paraId="3A369AA0" w14:textId="63456F3E" w:rsidR="00320849" w:rsidRDefault="000A7ECF">
          <w:pPr>
            <w:pStyle w:val="TOC2"/>
            <w:rPr>
              <w:rFonts w:asciiTheme="minorHAnsi" w:eastAsiaTheme="minorEastAsia" w:hAnsiTheme="minorHAnsi"/>
              <w:noProof/>
              <w:lang w:eastAsia="en-GB"/>
            </w:rPr>
          </w:pPr>
          <w:hyperlink w:anchor="_Toc33443303" w:history="1">
            <w:r w:rsidR="00320849" w:rsidRPr="00100459">
              <w:rPr>
                <w:rStyle w:val="Hyperlink"/>
                <w:noProof/>
              </w:rPr>
              <w:t>Incentives offered by EaP countries are targeted but costly</w:t>
            </w:r>
            <w:r w:rsidR="00320849">
              <w:rPr>
                <w:noProof/>
                <w:webHidden/>
              </w:rPr>
              <w:tab/>
            </w:r>
            <w:r w:rsidR="00320849">
              <w:rPr>
                <w:noProof/>
                <w:webHidden/>
              </w:rPr>
              <w:fldChar w:fldCharType="begin"/>
            </w:r>
            <w:r w:rsidR="00320849">
              <w:rPr>
                <w:noProof/>
                <w:webHidden/>
              </w:rPr>
              <w:instrText xml:space="preserve"> PAGEREF _Toc33443303 \h </w:instrText>
            </w:r>
            <w:r w:rsidR="00320849">
              <w:rPr>
                <w:noProof/>
                <w:webHidden/>
              </w:rPr>
            </w:r>
            <w:r w:rsidR="00320849">
              <w:rPr>
                <w:noProof/>
                <w:webHidden/>
              </w:rPr>
              <w:fldChar w:fldCharType="separate"/>
            </w:r>
            <w:r w:rsidR="00320849">
              <w:rPr>
                <w:noProof/>
                <w:webHidden/>
              </w:rPr>
              <w:t>46</w:t>
            </w:r>
            <w:r w:rsidR="00320849">
              <w:rPr>
                <w:noProof/>
                <w:webHidden/>
              </w:rPr>
              <w:fldChar w:fldCharType="end"/>
            </w:r>
          </w:hyperlink>
        </w:p>
        <w:p w14:paraId="5BD6D0FA" w14:textId="71CBC933" w:rsidR="00320849" w:rsidRDefault="000A7ECF">
          <w:pPr>
            <w:pStyle w:val="TOC2"/>
            <w:rPr>
              <w:rFonts w:asciiTheme="minorHAnsi" w:eastAsiaTheme="minorEastAsia" w:hAnsiTheme="minorHAnsi"/>
              <w:noProof/>
              <w:lang w:eastAsia="en-GB"/>
            </w:rPr>
          </w:pPr>
          <w:hyperlink w:anchor="_Toc33443304" w:history="1">
            <w:r w:rsidR="00320849" w:rsidRPr="00100459">
              <w:rPr>
                <w:rStyle w:val="Hyperlink"/>
                <w:noProof/>
              </w:rPr>
              <w:t>Annex 4.A. Incentives in SEZs</w:t>
            </w:r>
            <w:r w:rsidR="00320849">
              <w:rPr>
                <w:noProof/>
                <w:webHidden/>
              </w:rPr>
              <w:tab/>
            </w:r>
            <w:r w:rsidR="00320849">
              <w:rPr>
                <w:noProof/>
                <w:webHidden/>
              </w:rPr>
              <w:fldChar w:fldCharType="begin"/>
            </w:r>
            <w:r w:rsidR="00320849">
              <w:rPr>
                <w:noProof/>
                <w:webHidden/>
              </w:rPr>
              <w:instrText xml:space="preserve"> PAGEREF _Toc33443304 \h </w:instrText>
            </w:r>
            <w:r w:rsidR="00320849">
              <w:rPr>
                <w:noProof/>
                <w:webHidden/>
              </w:rPr>
            </w:r>
            <w:r w:rsidR="00320849">
              <w:rPr>
                <w:noProof/>
                <w:webHidden/>
              </w:rPr>
              <w:fldChar w:fldCharType="separate"/>
            </w:r>
            <w:r w:rsidR="00320849">
              <w:rPr>
                <w:noProof/>
                <w:webHidden/>
              </w:rPr>
              <w:t>53</w:t>
            </w:r>
            <w:r w:rsidR="00320849">
              <w:rPr>
                <w:noProof/>
                <w:webHidden/>
              </w:rPr>
              <w:fldChar w:fldCharType="end"/>
            </w:r>
          </w:hyperlink>
        </w:p>
        <w:p w14:paraId="5B1BF364" w14:textId="36316F83" w:rsidR="00320849" w:rsidRDefault="000A7ECF">
          <w:pPr>
            <w:pStyle w:val="TOC1"/>
            <w:rPr>
              <w:rFonts w:asciiTheme="minorHAnsi" w:eastAsiaTheme="minorEastAsia" w:hAnsiTheme="minorHAnsi"/>
              <w:b w:val="0"/>
              <w:noProof/>
              <w:lang w:eastAsia="en-GB"/>
            </w:rPr>
          </w:pPr>
          <w:hyperlink w:anchor="_Toc33443305" w:history="1">
            <w:r w:rsidR="00320849" w:rsidRPr="00100459">
              <w:rPr>
                <w:rStyle w:val="Hyperlink"/>
                <w:noProof/>
              </w:rPr>
              <w:t>5. Promoting responsible business conduct</w:t>
            </w:r>
            <w:r w:rsidR="00320849">
              <w:rPr>
                <w:noProof/>
                <w:webHidden/>
              </w:rPr>
              <w:tab/>
            </w:r>
            <w:r w:rsidR="00320849">
              <w:rPr>
                <w:noProof/>
                <w:webHidden/>
              </w:rPr>
              <w:fldChar w:fldCharType="begin"/>
            </w:r>
            <w:r w:rsidR="00320849">
              <w:rPr>
                <w:noProof/>
                <w:webHidden/>
              </w:rPr>
              <w:instrText xml:space="preserve"> PAGEREF _Toc33443305 \h </w:instrText>
            </w:r>
            <w:r w:rsidR="00320849">
              <w:rPr>
                <w:noProof/>
                <w:webHidden/>
              </w:rPr>
            </w:r>
            <w:r w:rsidR="00320849">
              <w:rPr>
                <w:noProof/>
                <w:webHidden/>
              </w:rPr>
              <w:fldChar w:fldCharType="separate"/>
            </w:r>
            <w:r w:rsidR="00320849">
              <w:rPr>
                <w:noProof/>
                <w:webHidden/>
              </w:rPr>
              <w:t>54</w:t>
            </w:r>
            <w:r w:rsidR="00320849">
              <w:rPr>
                <w:noProof/>
                <w:webHidden/>
              </w:rPr>
              <w:fldChar w:fldCharType="end"/>
            </w:r>
          </w:hyperlink>
        </w:p>
        <w:p w14:paraId="5A5524BC" w14:textId="636F2CB1" w:rsidR="00320849" w:rsidRDefault="000A7ECF">
          <w:pPr>
            <w:pStyle w:val="TOC2"/>
            <w:rPr>
              <w:rFonts w:asciiTheme="minorHAnsi" w:eastAsiaTheme="minorEastAsia" w:hAnsiTheme="minorHAnsi"/>
              <w:noProof/>
              <w:lang w:eastAsia="en-GB"/>
            </w:rPr>
          </w:pPr>
          <w:hyperlink w:anchor="_Toc33443306" w:history="1">
            <w:r w:rsidR="00320849" w:rsidRPr="00100459">
              <w:rPr>
                <w:rStyle w:val="Hyperlink"/>
                <w:noProof/>
              </w:rPr>
              <w:t>Main findings</w:t>
            </w:r>
            <w:r w:rsidR="00320849">
              <w:rPr>
                <w:noProof/>
                <w:webHidden/>
              </w:rPr>
              <w:tab/>
            </w:r>
            <w:r w:rsidR="00320849">
              <w:rPr>
                <w:noProof/>
                <w:webHidden/>
              </w:rPr>
              <w:fldChar w:fldCharType="begin"/>
            </w:r>
            <w:r w:rsidR="00320849">
              <w:rPr>
                <w:noProof/>
                <w:webHidden/>
              </w:rPr>
              <w:instrText xml:space="preserve"> PAGEREF _Toc33443306 \h </w:instrText>
            </w:r>
            <w:r w:rsidR="00320849">
              <w:rPr>
                <w:noProof/>
                <w:webHidden/>
              </w:rPr>
            </w:r>
            <w:r w:rsidR="00320849">
              <w:rPr>
                <w:noProof/>
                <w:webHidden/>
              </w:rPr>
              <w:fldChar w:fldCharType="separate"/>
            </w:r>
            <w:r w:rsidR="00320849">
              <w:rPr>
                <w:noProof/>
                <w:webHidden/>
              </w:rPr>
              <w:t>54</w:t>
            </w:r>
            <w:r w:rsidR="00320849">
              <w:rPr>
                <w:noProof/>
                <w:webHidden/>
              </w:rPr>
              <w:fldChar w:fldCharType="end"/>
            </w:r>
          </w:hyperlink>
        </w:p>
        <w:p w14:paraId="0F6F1F3C" w14:textId="27A7E140" w:rsidR="00320849" w:rsidRDefault="000A7ECF">
          <w:pPr>
            <w:pStyle w:val="TOC2"/>
            <w:rPr>
              <w:rFonts w:asciiTheme="minorHAnsi" w:eastAsiaTheme="minorEastAsia" w:hAnsiTheme="minorHAnsi"/>
              <w:noProof/>
              <w:lang w:eastAsia="en-GB"/>
            </w:rPr>
          </w:pPr>
          <w:hyperlink w:anchor="_Toc33443307" w:history="1">
            <w:r w:rsidR="00320849" w:rsidRPr="00100459">
              <w:rPr>
                <w:rStyle w:val="Hyperlink"/>
                <w:noProof/>
              </w:rPr>
              <w:t>Branding as a responsible business destination can help attract FDI</w:t>
            </w:r>
            <w:r w:rsidR="00320849">
              <w:rPr>
                <w:noProof/>
                <w:webHidden/>
              </w:rPr>
              <w:tab/>
            </w:r>
            <w:r w:rsidR="00320849">
              <w:rPr>
                <w:noProof/>
                <w:webHidden/>
              </w:rPr>
              <w:fldChar w:fldCharType="begin"/>
            </w:r>
            <w:r w:rsidR="00320849">
              <w:rPr>
                <w:noProof/>
                <w:webHidden/>
              </w:rPr>
              <w:instrText xml:space="preserve"> PAGEREF _Toc33443307 \h </w:instrText>
            </w:r>
            <w:r w:rsidR="00320849">
              <w:rPr>
                <w:noProof/>
                <w:webHidden/>
              </w:rPr>
            </w:r>
            <w:r w:rsidR="00320849">
              <w:rPr>
                <w:noProof/>
                <w:webHidden/>
              </w:rPr>
              <w:fldChar w:fldCharType="separate"/>
            </w:r>
            <w:r w:rsidR="00320849">
              <w:rPr>
                <w:noProof/>
                <w:webHidden/>
              </w:rPr>
              <w:t>56</w:t>
            </w:r>
            <w:r w:rsidR="00320849">
              <w:rPr>
                <w:noProof/>
                <w:webHidden/>
              </w:rPr>
              <w:fldChar w:fldCharType="end"/>
            </w:r>
          </w:hyperlink>
        </w:p>
        <w:p w14:paraId="350DF998" w14:textId="78323C26" w:rsidR="00320849" w:rsidRDefault="000A7ECF">
          <w:pPr>
            <w:pStyle w:val="TOC2"/>
            <w:rPr>
              <w:rFonts w:asciiTheme="minorHAnsi" w:eastAsiaTheme="minorEastAsia" w:hAnsiTheme="minorHAnsi"/>
              <w:noProof/>
              <w:lang w:eastAsia="en-GB"/>
            </w:rPr>
          </w:pPr>
          <w:hyperlink w:anchor="_Toc33443308" w:history="1">
            <w:r w:rsidR="00320849" w:rsidRPr="00100459">
              <w:rPr>
                <w:rStyle w:val="Hyperlink"/>
                <w:noProof/>
              </w:rPr>
              <w:t>Efforts to promote RBC often remain too timid</w:t>
            </w:r>
            <w:r w:rsidR="00320849">
              <w:rPr>
                <w:noProof/>
                <w:webHidden/>
              </w:rPr>
              <w:tab/>
            </w:r>
            <w:r w:rsidR="00320849">
              <w:rPr>
                <w:noProof/>
                <w:webHidden/>
              </w:rPr>
              <w:fldChar w:fldCharType="begin"/>
            </w:r>
            <w:r w:rsidR="00320849">
              <w:rPr>
                <w:noProof/>
                <w:webHidden/>
              </w:rPr>
              <w:instrText xml:space="preserve"> PAGEREF _Toc33443308 \h </w:instrText>
            </w:r>
            <w:r w:rsidR="00320849">
              <w:rPr>
                <w:noProof/>
                <w:webHidden/>
              </w:rPr>
            </w:r>
            <w:r w:rsidR="00320849">
              <w:rPr>
                <w:noProof/>
                <w:webHidden/>
              </w:rPr>
              <w:fldChar w:fldCharType="separate"/>
            </w:r>
            <w:r w:rsidR="00320849">
              <w:rPr>
                <w:noProof/>
                <w:webHidden/>
              </w:rPr>
              <w:t>59</w:t>
            </w:r>
            <w:r w:rsidR="00320849">
              <w:rPr>
                <w:noProof/>
                <w:webHidden/>
              </w:rPr>
              <w:fldChar w:fldCharType="end"/>
            </w:r>
          </w:hyperlink>
        </w:p>
        <w:p w14:paraId="742D09EB" w14:textId="06DD633A" w:rsidR="00320849" w:rsidRDefault="000A7ECF">
          <w:pPr>
            <w:pStyle w:val="TOC2"/>
            <w:rPr>
              <w:rFonts w:asciiTheme="minorHAnsi" w:eastAsiaTheme="minorEastAsia" w:hAnsiTheme="minorHAnsi"/>
              <w:noProof/>
              <w:lang w:eastAsia="en-GB"/>
            </w:rPr>
          </w:pPr>
          <w:hyperlink w:anchor="_Toc33443309" w:history="1">
            <w:r w:rsidR="00320849" w:rsidRPr="00100459">
              <w:rPr>
                <w:rStyle w:val="Hyperlink"/>
                <w:rFonts w:cs="Times New Roman"/>
                <w:noProof/>
              </w:rPr>
              <w:t>EaP countries face challenges in enforcing RBC practices</w:t>
            </w:r>
            <w:r w:rsidR="00320849">
              <w:rPr>
                <w:noProof/>
                <w:webHidden/>
              </w:rPr>
              <w:tab/>
            </w:r>
            <w:r w:rsidR="00320849">
              <w:rPr>
                <w:noProof/>
                <w:webHidden/>
              </w:rPr>
              <w:fldChar w:fldCharType="begin"/>
            </w:r>
            <w:r w:rsidR="00320849">
              <w:rPr>
                <w:noProof/>
                <w:webHidden/>
              </w:rPr>
              <w:instrText xml:space="preserve"> PAGEREF _Toc33443309 \h </w:instrText>
            </w:r>
            <w:r w:rsidR="00320849">
              <w:rPr>
                <w:noProof/>
                <w:webHidden/>
              </w:rPr>
            </w:r>
            <w:r w:rsidR="00320849">
              <w:rPr>
                <w:noProof/>
                <w:webHidden/>
              </w:rPr>
              <w:fldChar w:fldCharType="separate"/>
            </w:r>
            <w:r w:rsidR="00320849">
              <w:rPr>
                <w:noProof/>
                <w:webHidden/>
              </w:rPr>
              <w:t>63</w:t>
            </w:r>
            <w:r w:rsidR="00320849">
              <w:rPr>
                <w:noProof/>
                <w:webHidden/>
              </w:rPr>
              <w:fldChar w:fldCharType="end"/>
            </w:r>
          </w:hyperlink>
        </w:p>
        <w:p w14:paraId="7EE26411" w14:textId="53B1E641" w:rsidR="00320849" w:rsidRDefault="000A7ECF">
          <w:pPr>
            <w:pStyle w:val="TOC1"/>
            <w:rPr>
              <w:rFonts w:asciiTheme="minorHAnsi" w:eastAsiaTheme="minorEastAsia" w:hAnsiTheme="minorHAnsi"/>
              <w:b w:val="0"/>
              <w:noProof/>
              <w:lang w:eastAsia="en-GB"/>
            </w:rPr>
          </w:pPr>
          <w:hyperlink w:anchor="_Toc33443310" w:history="1">
            <w:r w:rsidR="00320849" w:rsidRPr="00100459">
              <w:rPr>
                <w:rStyle w:val="Hyperlink"/>
                <w:noProof/>
              </w:rPr>
              <w:t>References</w:t>
            </w:r>
            <w:r w:rsidR="00320849">
              <w:rPr>
                <w:noProof/>
                <w:webHidden/>
              </w:rPr>
              <w:tab/>
            </w:r>
            <w:r w:rsidR="00320849">
              <w:rPr>
                <w:noProof/>
                <w:webHidden/>
              </w:rPr>
              <w:fldChar w:fldCharType="begin"/>
            </w:r>
            <w:r w:rsidR="00320849">
              <w:rPr>
                <w:noProof/>
                <w:webHidden/>
              </w:rPr>
              <w:instrText xml:space="preserve"> PAGEREF _Toc33443310 \h </w:instrText>
            </w:r>
            <w:r w:rsidR="00320849">
              <w:rPr>
                <w:noProof/>
                <w:webHidden/>
              </w:rPr>
            </w:r>
            <w:r w:rsidR="00320849">
              <w:rPr>
                <w:noProof/>
                <w:webHidden/>
              </w:rPr>
              <w:fldChar w:fldCharType="separate"/>
            </w:r>
            <w:r w:rsidR="00320849">
              <w:rPr>
                <w:noProof/>
                <w:webHidden/>
              </w:rPr>
              <w:t>73</w:t>
            </w:r>
            <w:r w:rsidR="00320849">
              <w:rPr>
                <w:noProof/>
                <w:webHidden/>
              </w:rPr>
              <w:fldChar w:fldCharType="end"/>
            </w:r>
          </w:hyperlink>
        </w:p>
        <w:p w14:paraId="3BFCB90F" w14:textId="0E9C12CE" w:rsidR="00157F38" w:rsidRDefault="00157F38" w:rsidP="00911610">
          <w:pPr>
            <w:pStyle w:val="TOC1"/>
          </w:pPr>
          <w:r>
            <w:rPr>
              <w:b w:val="0"/>
              <w:bCs/>
              <w:noProof/>
              <w:lang w:val="en-US"/>
            </w:rPr>
            <w:fldChar w:fldCharType="end"/>
          </w:r>
        </w:p>
        <w:p w14:paraId="69543CFA" w14:textId="77777777" w:rsidR="00157F38" w:rsidRDefault="00157F38" w:rsidP="00263CAB">
          <w:pPr>
            <w:pStyle w:val="Subtitle"/>
            <w:rPr>
              <w:rFonts w:hint="eastAsia"/>
            </w:rPr>
          </w:pPr>
          <w:r>
            <w:t>Tables</w:t>
          </w:r>
        </w:p>
        <w:p w14:paraId="5EFAB881" w14:textId="452F2214" w:rsidR="00320849" w:rsidRDefault="00157F38">
          <w:pPr>
            <w:pStyle w:val="TableofFigures"/>
            <w:rPr>
              <w:rFonts w:asciiTheme="minorHAnsi" w:eastAsiaTheme="minorEastAsia" w:hAnsiTheme="minorHAnsi"/>
              <w:noProof/>
              <w:lang w:eastAsia="en-GB"/>
            </w:rPr>
          </w:pPr>
          <w:r>
            <w:rPr>
              <w:b/>
              <w:bCs/>
              <w:noProof/>
              <w:lang w:val="en-US"/>
            </w:rPr>
            <w:fldChar w:fldCharType="begin"/>
          </w:r>
          <w:r>
            <w:rPr>
              <w:b/>
              <w:bCs/>
              <w:noProof/>
              <w:lang w:val="en-US"/>
            </w:rPr>
            <w:instrText xml:space="preserve"> TOC \h \z \c "Table" </w:instrText>
          </w:r>
          <w:r>
            <w:rPr>
              <w:b/>
              <w:bCs/>
              <w:noProof/>
              <w:lang w:val="en-US"/>
            </w:rPr>
            <w:fldChar w:fldCharType="separate"/>
          </w:r>
          <w:hyperlink w:anchor="_Toc33443311" w:history="1">
            <w:r w:rsidR="00320849" w:rsidRPr="00621306">
              <w:rPr>
                <w:rStyle w:val="Hyperlink"/>
                <w:noProof/>
              </w:rPr>
              <w:t>Table 3.1. Summary of organisational reforms over last five years</w:t>
            </w:r>
            <w:r w:rsidR="00320849">
              <w:rPr>
                <w:noProof/>
                <w:webHidden/>
              </w:rPr>
              <w:tab/>
            </w:r>
            <w:r w:rsidR="00320849">
              <w:rPr>
                <w:noProof/>
                <w:webHidden/>
              </w:rPr>
              <w:fldChar w:fldCharType="begin"/>
            </w:r>
            <w:r w:rsidR="00320849">
              <w:rPr>
                <w:noProof/>
                <w:webHidden/>
              </w:rPr>
              <w:instrText xml:space="preserve"> PAGEREF _Toc33443311 \h </w:instrText>
            </w:r>
            <w:r w:rsidR="00320849">
              <w:rPr>
                <w:noProof/>
                <w:webHidden/>
              </w:rPr>
            </w:r>
            <w:r w:rsidR="00320849">
              <w:rPr>
                <w:noProof/>
                <w:webHidden/>
              </w:rPr>
              <w:fldChar w:fldCharType="separate"/>
            </w:r>
            <w:r w:rsidR="00320849">
              <w:rPr>
                <w:noProof/>
                <w:webHidden/>
              </w:rPr>
              <w:t>27</w:t>
            </w:r>
            <w:r w:rsidR="00320849">
              <w:rPr>
                <w:noProof/>
                <w:webHidden/>
              </w:rPr>
              <w:fldChar w:fldCharType="end"/>
            </w:r>
          </w:hyperlink>
        </w:p>
        <w:p w14:paraId="5385062D" w14:textId="5DF221CF" w:rsidR="00320849" w:rsidRDefault="000A7ECF">
          <w:pPr>
            <w:pStyle w:val="TableofFigures"/>
            <w:rPr>
              <w:rFonts w:asciiTheme="minorHAnsi" w:eastAsiaTheme="minorEastAsia" w:hAnsiTheme="minorHAnsi"/>
              <w:noProof/>
              <w:lang w:eastAsia="en-GB"/>
            </w:rPr>
          </w:pPr>
          <w:hyperlink w:anchor="_Toc33443312" w:history="1">
            <w:r w:rsidR="00320849" w:rsidRPr="00621306">
              <w:rPr>
                <w:rStyle w:val="Hyperlink"/>
                <w:noProof/>
              </w:rPr>
              <w:t>Table 3.2. Official mandates by agency</w:t>
            </w:r>
            <w:r w:rsidR="00320849">
              <w:rPr>
                <w:noProof/>
                <w:webHidden/>
              </w:rPr>
              <w:tab/>
            </w:r>
            <w:r w:rsidR="00320849">
              <w:rPr>
                <w:noProof/>
                <w:webHidden/>
              </w:rPr>
              <w:fldChar w:fldCharType="begin"/>
            </w:r>
            <w:r w:rsidR="00320849">
              <w:rPr>
                <w:noProof/>
                <w:webHidden/>
              </w:rPr>
              <w:instrText xml:space="preserve"> PAGEREF _Toc33443312 \h </w:instrText>
            </w:r>
            <w:r w:rsidR="00320849">
              <w:rPr>
                <w:noProof/>
                <w:webHidden/>
              </w:rPr>
            </w:r>
            <w:r w:rsidR="00320849">
              <w:rPr>
                <w:noProof/>
                <w:webHidden/>
              </w:rPr>
              <w:fldChar w:fldCharType="separate"/>
            </w:r>
            <w:r w:rsidR="00320849">
              <w:rPr>
                <w:noProof/>
                <w:webHidden/>
              </w:rPr>
              <w:t>29</w:t>
            </w:r>
            <w:r w:rsidR="00320849">
              <w:rPr>
                <w:noProof/>
                <w:webHidden/>
              </w:rPr>
              <w:fldChar w:fldCharType="end"/>
            </w:r>
          </w:hyperlink>
        </w:p>
        <w:p w14:paraId="314AD9F8" w14:textId="7A89471E" w:rsidR="00320849" w:rsidRDefault="000A7ECF">
          <w:pPr>
            <w:pStyle w:val="TableofFigures"/>
            <w:rPr>
              <w:rFonts w:asciiTheme="minorHAnsi" w:eastAsiaTheme="minorEastAsia" w:hAnsiTheme="minorHAnsi"/>
              <w:noProof/>
              <w:lang w:eastAsia="en-GB"/>
            </w:rPr>
          </w:pPr>
          <w:hyperlink w:anchor="_Toc33443313" w:history="1">
            <w:r w:rsidR="00320849" w:rsidRPr="00621306">
              <w:rPr>
                <w:rStyle w:val="Hyperlink"/>
                <w:noProof/>
              </w:rPr>
              <w:t>Table 3.3. Priority countries and sectors</w:t>
            </w:r>
            <w:r w:rsidR="00320849">
              <w:rPr>
                <w:noProof/>
                <w:webHidden/>
              </w:rPr>
              <w:tab/>
            </w:r>
            <w:r w:rsidR="00320849">
              <w:rPr>
                <w:noProof/>
                <w:webHidden/>
              </w:rPr>
              <w:fldChar w:fldCharType="begin"/>
            </w:r>
            <w:r w:rsidR="00320849">
              <w:rPr>
                <w:noProof/>
                <w:webHidden/>
              </w:rPr>
              <w:instrText xml:space="preserve"> PAGEREF _Toc33443313 \h </w:instrText>
            </w:r>
            <w:r w:rsidR="00320849">
              <w:rPr>
                <w:noProof/>
                <w:webHidden/>
              </w:rPr>
            </w:r>
            <w:r w:rsidR="00320849">
              <w:rPr>
                <w:noProof/>
                <w:webHidden/>
              </w:rPr>
              <w:fldChar w:fldCharType="separate"/>
            </w:r>
            <w:r w:rsidR="00320849">
              <w:rPr>
                <w:noProof/>
                <w:webHidden/>
              </w:rPr>
              <w:t>34</w:t>
            </w:r>
            <w:r w:rsidR="00320849">
              <w:rPr>
                <w:noProof/>
                <w:webHidden/>
              </w:rPr>
              <w:fldChar w:fldCharType="end"/>
            </w:r>
          </w:hyperlink>
        </w:p>
        <w:p w14:paraId="1F98CEF8" w14:textId="2B114BB0" w:rsidR="00320849" w:rsidRDefault="000A7ECF">
          <w:pPr>
            <w:pStyle w:val="TableofFigures"/>
            <w:rPr>
              <w:rFonts w:asciiTheme="minorHAnsi" w:eastAsiaTheme="minorEastAsia" w:hAnsiTheme="minorHAnsi"/>
              <w:noProof/>
              <w:lang w:eastAsia="en-GB"/>
            </w:rPr>
          </w:pPr>
          <w:hyperlink w:anchor="_Toc33443314" w:history="1">
            <w:r w:rsidR="00320849" w:rsidRPr="00621306">
              <w:rPr>
                <w:rStyle w:val="Hyperlink"/>
                <w:noProof/>
              </w:rPr>
              <w:t>Table 3.4. Criteria used for prioritisation of investment projects</w:t>
            </w:r>
            <w:r w:rsidR="00320849">
              <w:rPr>
                <w:noProof/>
                <w:webHidden/>
              </w:rPr>
              <w:tab/>
            </w:r>
            <w:r w:rsidR="00320849">
              <w:rPr>
                <w:noProof/>
                <w:webHidden/>
              </w:rPr>
              <w:fldChar w:fldCharType="begin"/>
            </w:r>
            <w:r w:rsidR="00320849">
              <w:rPr>
                <w:noProof/>
                <w:webHidden/>
              </w:rPr>
              <w:instrText xml:space="preserve"> PAGEREF _Toc33443314 \h </w:instrText>
            </w:r>
            <w:r w:rsidR="00320849">
              <w:rPr>
                <w:noProof/>
                <w:webHidden/>
              </w:rPr>
            </w:r>
            <w:r w:rsidR="00320849">
              <w:rPr>
                <w:noProof/>
                <w:webHidden/>
              </w:rPr>
              <w:fldChar w:fldCharType="separate"/>
            </w:r>
            <w:r w:rsidR="00320849">
              <w:rPr>
                <w:noProof/>
                <w:webHidden/>
              </w:rPr>
              <w:t>34</w:t>
            </w:r>
            <w:r w:rsidR="00320849">
              <w:rPr>
                <w:noProof/>
                <w:webHidden/>
              </w:rPr>
              <w:fldChar w:fldCharType="end"/>
            </w:r>
          </w:hyperlink>
        </w:p>
        <w:p w14:paraId="4448CBB2" w14:textId="3E5AF1F1" w:rsidR="00320849" w:rsidRDefault="000A7ECF">
          <w:pPr>
            <w:pStyle w:val="TableofFigures"/>
            <w:rPr>
              <w:rFonts w:asciiTheme="minorHAnsi" w:eastAsiaTheme="minorEastAsia" w:hAnsiTheme="minorHAnsi"/>
              <w:noProof/>
              <w:lang w:eastAsia="en-GB"/>
            </w:rPr>
          </w:pPr>
          <w:hyperlink w:anchor="_Toc33443315" w:history="1">
            <w:r w:rsidR="00320849" w:rsidRPr="00621306">
              <w:rPr>
                <w:rStyle w:val="Hyperlink"/>
                <w:noProof/>
              </w:rPr>
              <w:t>Table 3.5. Investment promotion activities of IPAs</w:t>
            </w:r>
            <w:r w:rsidR="00320849">
              <w:rPr>
                <w:noProof/>
                <w:webHidden/>
              </w:rPr>
              <w:tab/>
            </w:r>
            <w:r w:rsidR="00320849">
              <w:rPr>
                <w:noProof/>
                <w:webHidden/>
              </w:rPr>
              <w:fldChar w:fldCharType="begin"/>
            </w:r>
            <w:r w:rsidR="00320849">
              <w:rPr>
                <w:noProof/>
                <w:webHidden/>
              </w:rPr>
              <w:instrText xml:space="preserve"> PAGEREF _Toc33443315 \h </w:instrText>
            </w:r>
            <w:r w:rsidR="00320849">
              <w:rPr>
                <w:noProof/>
                <w:webHidden/>
              </w:rPr>
            </w:r>
            <w:r w:rsidR="00320849">
              <w:rPr>
                <w:noProof/>
                <w:webHidden/>
              </w:rPr>
              <w:fldChar w:fldCharType="separate"/>
            </w:r>
            <w:r w:rsidR="00320849">
              <w:rPr>
                <w:noProof/>
                <w:webHidden/>
              </w:rPr>
              <w:t>35</w:t>
            </w:r>
            <w:r w:rsidR="00320849">
              <w:rPr>
                <w:noProof/>
                <w:webHidden/>
              </w:rPr>
              <w:fldChar w:fldCharType="end"/>
            </w:r>
          </w:hyperlink>
        </w:p>
        <w:p w14:paraId="37BB5012" w14:textId="6914C43D" w:rsidR="00320849" w:rsidRDefault="000A7ECF">
          <w:pPr>
            <w:pStyle w:val="TableofFigures"/>
            <w:rPr>
              <w:rFonts w:asciiTheme="minorHAnsi" w:eastAsiaTheme="minorEastAsia" w:hAnsiTheme="minorHAnsi"/>
              <w:noProof/>
              <w:lang w:eastAsia="en-GB"/>
            </w:rPr>
          </w:pPr>
          <w:hyperlink w:anchor="_Toc33443316" w:history="1">
            <w:r w:rsidR="00320849" w:rsidRPr="00621306">
              <w:rPr>
                <w:rStyle w:val="Hyperlink"/>
                <w:noProof/>
              </w:rPr>
              <w:t>Table 3.6. Aftercare services of IPAs</w:t>
            </w:r>
            <w:r w:rsidR="00320849">
              <w:rPr>
                <w:noProof/>
                <w:webHidden/>
              </w:rPr>
              <w:tab/>
            </w:r>
            <w:r w:rsidR="00320849">
              <w:rPr>
                <w:noProof/>
                <w:webHidden/>
              </w:rPr>
              <w:fldChar w:fldCharType="begin"/>
            </w:r>
            <w:r w:rsidR="00320849">
              <w:rPr>
                <w:noProof/>
                <w:webHidden/>
              </w:rPr>
              <w:instrText xml:space="preserve"> PAGEREF _Toc33443316 \h </w:instrText>
            </w:r>
            <w:r w:rsidR="00320849">
              <w:rPr>
                <w:noProof/>
                <w:webHidden/>
              </w:rPr>
            </w:r>
            <w:r w:rsidR="00320849">
              <w:rPr>
                <w:noProof/>
                <w:webHidden/>
              </w:rPr>
              <w:fldChar w:fldCharType="separate"/>
            </w:r>
            <w:r w:rsidR="00320849">
              <w:rPr>
                <w:noProof/>
                <w:webHidden/>
              </w:rPr>
              <w:t>38</w:t>
            </w:r>
            <w:r w:rsidR="00320849">
              <w:rPr>
                <w:noProof/>
                <w:webHidden/>
              </w:rPr>
              <w:fldChar w:fldCharType="end"/>
            </w:r>
          </w:hyperlink>
        </w:p>
        <w:p w14:paraId="27FB854D" w14:textId="0274C436" w:rsidR="00320849" w:rsidRDefault="000A7ECF">
          <w:pPr>
            <w:pStyle w:val="TableofFigures"/>
            <w:rPr>
              <w:rFonts w:asciiTheme="minorHAnsi" w:eastAsiaTheme="minorEastAsia" w:hAnsiTheme="minorHAnsi"/>
              <w:noProof/>
              <w:lang w:eastAsia="en-GB"/>
            </w:rPr>
          </w:pPr>
          <w:hyperlink w:anchor="_Toc33443317" w:history="1">
            <w:r w:rsidR="00320849" w:rsidRPr="00621306">
              <w:rPr>
                <w:rStyle w:val="Hyperlink"/>
                <w:noProof/>
              </w:rPr>
              <w:t>Table 3.7. Policy advocacy activities of IPAs</w:t>
            </w:r>
            <w:r w:rsidR="00320849">
              <w:rPr>
                <w:noProof/>
                <w:webHidden/>
              </w:rPr>
              <w:tab/>
            </w:r>
            <w:r w:rsidR="00320849">
              <w:rPr>
                <w:noProof/>
                <w:webHidden/>
              </w:rPr>
              <w:fldChar w:fldCharType="begin"/>
            </w:r>
            <w:r w:rsidR="00320849">
              <w:rPr>
                <w:noProof/>
                <w:webHidden/>
              </w:rPr>
              <w:instrText xml:space="preserve"> PAGEREF _Toc33443317 \h </w:instrText>
            </w:r>
            <w:r w:rsidR="00320849">
              <w:rPr>
                <w:noProof/>
                <w:webHidden/>
              </w:rPr>
            </w:r>
            <w:r w:rsidR="00320849">
              <w:rPr>
                <w:noProof/>
                <w:webHidden/>
              </w:rPr>
              <w:fldChar w:fldCharType="separate"/>
            </w:r>
            <w:r w:rsidR="00320849">
              <w:rPr>
                <w:noProof/>
                <w:webHidden/>
              </w:rPr>
              <w:t>39</w:t>
            </w:r>
            <w:r w:rsidR="00320849">
              <w:rPr>
                <w:noProof/>
                <w:webHidden/>
              </w:rPr>
              <w:fldChar w:fldCharType="end"/>
            </w:r>
          </w:hyperlink>
        </w:p>
        <w:p w14:paraId="7735AEBD" w14:textId="0B9AD104" w:rsidR="00320849" w:rsidRDefault="000A7ECF">
          <w:pPr>
            <w:pStyle w:val="TableofFigures"/>
            <w:rPr>
              <w:rFonts w:asciiTheme="minorHAnsi" w:eastAsiaTheme="minorEastAsia" w:hAnsiTheme="minorHAnsi"/>
              <w:noProof/>
              <w:lang w:eastAsia="en-GB"/>
            </w:rPr>
          </w:pPr>
          <w:hyperlink w:anchor="_Toc33443318" w:history="1">
            <w:r w:rsidR="00320849" w:rsidRPr="00621306">
              <w:rPr>
                <w:rStyle w:val="Hyperlink"/>
                <w:noProof/>
              </w:rPr>
              <w:t>Table 4.1. Summary of types of tax incentives</w:t>
            </w:r>
            <w:r w:rsidR="00320849">
              <w:rPr>
                <w:noProof/>
                <w:webHidden/>
              </w:rPr>
              <w:tab/>
            </w:r>
            <w:r w:rsidR="00320849">
              <w:rPr>
                <w:noProof/>
                <w:webHidden/>
              </w:rPr>
              <w:fldChar w:fldCharType="begin"/>
            </w:r>
            <w:r w:rsidR="00320849">
              <w:rPr>
                <w:noProof/>
                <w:webHidden/>
              </w:rPr>
              <w:instrText xml:space="preserve"> PAGEREF _Toc33443318 \h </w:instrText>
            </w:r>
            <w:r w:rsidR="00320849">
              <w:rPr>
                <w:noProof/>
                <w:webHidden/>
              </w:rPr>
            </w:r>
            <w:r w:rsidR="00320849">
              <w:rPr>
                <w:noProof/>
                <w:webHidden/>
              </w:rPr>
              <w:fldChar w:fldCharType="separate"/>
            </w:r>
            <w:r w:rsidR="00320849">
              <w:rPr>
                <w:noProof/>
                <w:webHidden/>
              </w:rPr>
              <w:t>47</w:t>
            </w:r>
            <w:r w:rsidR="00320849">
              <w:rPr>
                <w:noProof/>
                <w:webHidden/>
              </w:rPr>
              <w:fldChar w:fldCharType="end"/>
            </w:r>
          </w:hyperlink>
        </w:p>
        <w:p w14:paraId="617D8BB5" w14:textId="1B8FD601" w:rsidR="00320849" w:rsidRDefault="000A7ECF">
          <w:pPr>
            <w:pStyle w:val="TableofFigures"/>
            <w:rPr>
              <w:rFonts w:asciiTheme="minorHAnsi" w:eastAsiaTheme="minorEastAsia" w:hAnsiTheme="minorHAnsi"/>
              <w:noProof/>
              <w:lang w:eastAsia="en-GB"/>
            </w:rPr>
          </w:pPr>
          <w:hyperlink w:anchor="_Toc33443319" w:history="1">
            <w:r w:rsidR="00320849" w:rsidRPr="00621306">
              <w:rPr>
                <w:rStyle w:val="Hyperlink"/>
                <w:noProof/>
              </w:rPr>
              <w:t>Table 4.2. Overview of investment incentives in EaP countries</w:t>
            </w:r>
            <w:r w:rsidR="00320849">
              <w:rPr>
                <w:noProof/>
                <w:webHidden/>
              </w:rPr>
              <w:tab/>
            </w:r>
            <w:r w:rsidR="00320849">
              <w:rPr>
                <w:noProof/>
                <w:webHidden/>
              </w:rPr>
              <w:fldChar w:fldCharType="begin"/>
            </w:r>
            <w:r w:rsidR="00320849">
              <w:rPr>
                <w:noProof/>
                <w:webHidden/>
              </w:rPr>
              <w:instrText xml:space="preserve"> PAGEREF _Toc33443319 \h </w:instrText>
            </w:r>
            <w:r w:rsidR="00320849">
              <w:rPr>
                <w:noProof/>
                <w:webHidden/>
              </w:rPr>
            </w:r>
            <w:r w:rsidR="00320849">
              <w:rPr>
                <w:noProof/>
                <w:webHidden/>
              </w:rPr>
              <w:fldChar w:fldCharType="separate"/>
            </w:r>
            <w:r w:rsidR="00320849">
              <w:rPr>
                <w:noProof/>
                <w:webHidden/>
              </w:rPr>
              <w:t>49</w:t>
            </w:r>
            <w:r w:rsidR="00320849">
              <w:rPr>
                <w:noProof/>
                <w:webHidden/>
              </w:rPr>
              <w:fldChar w:fldCharType="end"/>
            </w:r>
          </w:hyperlink>
        </w:p>
        <w:p w14:paraId="2865931F" w14:textId="37F8E787" w:rsidR="00320849" w:rsidRDefault="000A7ECF">
          <w:pPr>
            <w:pStyle w:val="TableofFigures"/>
            <w:rPr>
              <w:rFonts w:asciiTheme="minorHAnsi" w:eastAsiaTheme="minorEastAsia" w:hAnsiTheme="minorHAnsi"/>
              <w:noProof/>
              <w:lang w:eastAsia="en-GB"/>
            </w:rPr>
          </w:pPr>
          <w:hyperlink w:anchor="_Toc33443320" w:history="1">
            <w:r w:rsidR="00320849" w:rsidRPr="00621306">
              <w:rPr>
                <w:rStyle w:val="Hyperlink"/>
                <w:noProof/>
              </w:rPr>
              <w:t>Table 5.1. NAPs on RBC/HBR in EaP countries</w:t>
            </w:r>
            <w:r w:rsidR="00320849">
              <w:rPr>
                <w:noProof/>
                <w:webHidden/>
              </w:rPr>
              <w:tab/>
            </w:r>
            <w:r w:rsidR="00320849">
              <w:rPr>
                <w:noProof/>
                <w:webHidden/>
              </w:rPr>
              <w:fldChar w:fldCharType="begin"/>
            </w:r>
            <w:r w:rsidR="00320849">
              <w:rPr>
                <w:noProof/>
                <w:webHidden/>
              </w:rPr>
              <w:instrText xml:space="preserve"> PAGEREF _Toc33443320 \h </w:instrText>
            </w:r>
            <w:r w:rsidR="00320849">
              <w:rPr>
                <w:noProof/>
                <w:webHidden/>
              </w:rPr>
            </w:r>
            <w:r w:rsidR="00320849">
              <w:rPr>
                <w:noProof/>
                <w:webHidden/>
              </w:rPr>
              <w:fldChar w:fldCharType="separate"/>
            </w:r>
            <w:r w:rsidR="00320849">
              <w:rPr>
                <w:noProof/>
                <w:webHidden/>
              </w:rPr>
              <w:t>60</w:t>
            </w:r>
            <w:r w:rsidR="00320849">
              <w:rPr>
                <w:noProof/>
                <w:webHidden/>
              </w:rPr>
              <w:fldChar w:fldCharType="end"/>
            </w:r>
          </w:hyperlink>
        </w:p>
        <w:p w14:paraId="5BC9C31C" w14:textId="522F2047" w:rsidR="00320849" w:rsidRDefault="000A7ECF">
          <w:pPr>
            <w:pStyle w:val="TableofFigures"/>
            <w:rPr>
              <w:rFonts w:asciiTheme="minorHAnsi" w:eastAsiaTheme="minorEastAsia" w:hAnsiTheme="minorHAnsi"/>
              <w:noProof/>
              <w:lang w:eastAsia="en-GB"/>
            </w:rPr>
          </w:pPr>
          <w:hyperlink w:anchor="_Toc33443321" w:history="1">
            <w:r w:rsidR="00320849" w:rsidRPr="00621306">
              <w:rPr>
                <w:rStyle w:val="Hyperlink"/>
                <w:noProof/>
              </w:rPr>
              <w:t>Table 5.2. Ratifications of ILO Conventions</w:t>
            </w:r>
            <w:r w:rsidR="00320849">
              <w:rPr>
                <w:noProof/>
                <w:webHidden/>
              </w:rPr>
              <w:tab/>
            </w:r>
            <w:r w:rsidR="00320849">
              <w:rPr>
                <w:noProof/>
                <w:webHidden/>
              </w:rPr>
              <w:fldChar w:fldCharType="begin"/>
            </w:r>
            <w:r w:rsidR="00320849">
              <w:rPr>
                <w:noProof/>
                <w:webHidden/>
              </w:rPr>
              <w:instrText xml:space="preserve"> PAGEREF _Toc33443321 \h </w:instrText>
            </w:r>
            <w:r w:rsidR="00320849">
              <w:rPr>
                <w:noProof/>
                <w:webHidden/>
              </w:rPr>
            </w:r>
            <w:r w:rsidR="00320849">
              <w:rPr>
                <w:noProof/>
                <w:webHidden/>
              </w:rPr>
              <w:fldChar w:fldCharType="separate"/>
            </w:r>
            <w:r w:rsidR="00320849">
              <w:rPr>
                <w:noProof/>
                <w:webHidden/>
              </w:rPr>
              <w:t>66</w:t>
            </w:r>
            <w:r w:rsidR="00320849">
              <w:rPr>
                <w:noProof/>
                <w:webHidden/>
              </w:rPr>
              <w:fldChar w:fldCharType="end"/>
            </w:r>
          </w:hyperlink>
        </w:p>
        <w:p w14:paraId="664EE183" w14:textId="3EFA4223" w:rsidR="00320849" w:rsidRDefault="000A7ECF">
          <w:pPr>
            <w:pStyle w:val="TableofFigures"/>
            <w:rPr>
              <w:rFonts w:asciiTheme="minorHAnsi" w:eastAsiaTheme="minorEastAsia" w:hAnsiTheme="minorHAnsi"/>
              <w:noProof/>
              <w:lang w:eastAsia="en-GB"/>
            </w:rPr>
          </w:pPr>
          <w:hyperlink w:anchor="_Toc33443322" w:history="1">
            <w:r w:rsidR="00320849" w:rsidRPr="00621306">
              <w:rPr>
                <w:rStyle w:val="Hyperlink"/>
                <w:noProof/>
              </w:rPr>
              <w:t>Table 5.3. Reported occupational injuries in EaP countries</w:t>
            </w:r>
            <w:r w:rsidR="00320849">
              <w:rPr>
                <w:noProof/>
                <w:webHidden/>
              </w:rPr>
              <w:tab/>
            </w:r>
            <w:r w:rsidR="00320849">
              <w:rPr>
                <w:noProof/>
                <w:webHidden/>
              </w:rPr>
              <w:fldChar w:fldCharType="begin"/>
            </w:r>
            <w:r w:rsidR="00320849">
              <w:rPr>
                <w:noProof/>
                <w:webHidden/>
              </w:rPr>
              <w:instrText xml:space="preserve"> PAGEREF _Toc33443322 \h </w:instrText>
            </w:r>
            <w:r w:rsidR="00320849">
              <w:rPr>
                <w:noProof/>
                <w:webHidden/>
              </w:rPr>
            </w:r>
            <w:r w:rsidR="00320849">
              <w:rPr>
                <w:noProof/>
                <w:webHidden/>
              </w:rPr>
              <w:fldChar w:fldCharType="separate"/>
            </w:r>
            <w:r w:rsidR="00320849">
              <w:rPr>
                <w:noProof/>
                <w:webHidden/>
              </w:rPr>
              <w:t>68</w:t>
            </w:r>
            <w:r w:rsidR="00320849">
              <w:rPr>
                <w:noProof/>
                <w:webHidden/>
              </w:rPr>
              <w:fldChar w:fldCharType="end"/>
            </w:r>
          </w:hyperlink>
        </w:p>
        <w:p w14:paraId="5FB43C6D" w14:textId="2FFED9EA" w:rsidR="00157F38" w:rsidRDefault="00157F38" w:rsidP="002B06D8">
          <w:pPr>
            <w:spacing w:after="100"/>
          </w:pPr>
          <w:r>
            <w:rPr>
              <w:b/>
              <w:bCs/>
              <w:noProof/>
              <w:lang w:val="en-US"/>
            </w:rPr>
            <w:fldChar w:fldCharType="end"/>
          </w:r>
        </w:p>
        <w:p w14:paraId="5ABA6B9B" w14:textId="0B4F1749" w:rsidR="00320849" w:rsidRDefault="00157F38">
          <w:pPr>
            <w:pStyle w:val="TableofFigures"/>
            <w:rPr>
              <w:rFonts w:asciiTheme="minorHAnsi" w:eastAsiaTheme="minorEastAsia" w:hAnsiTheme="minorHAnsi"/>
              <w:noProof/>
              <w:lang w:eastAsia="en-GB"/>
            </w:rPr>
          </w:pPr>
          <w:r>
            <w:rPr>
              <w:b/>
              <w:bCs/>
              <w:noProof/>
              <w:lang w:val="en-US"/>
            </w:rPr>
            <w:fldChar w:fldCharType="begin"/>
          </w:r>
          <w:r>
            <w:rPr>
              <w:b/>
              <w:bCs/>
              <w:noProof/>
              <w:lang w:val="en-US"/>
            </w:rPr>
            <w:instrText xml:space="preserve"> TOC \h \z \c "Annex Table" </w:instrText>
          </w:r>
          <w:r>
            <w:rPr>
              <w:b/>
              <w:bCs/>
              <w:noProof/>
              <w:lang w:val="en-US"/>
            </w:rPr>
            <w:fldChar w:fldCharType="separate"/>
          </w:r>
          <w:hyperlink w:anchor="_Toc33443323" w:history="1">
            <w:r w:rsidR="00320849" w:rsidRPr="00CB0EFA">
              <w:rPr>
                <w:rStyle w:val="Hyperlink"/>
                <w:noProof/>
              </w:rPr>
              <w:t>Annex Table 3.A.1. Typology of investment strategies</w:t>
            </w:r>
            <w:r w:rsidR="00320849">
              <w:rPr>
                <w:noProof/>
                <w:webHidden/>
              </w:rPr>
              <w:tab/>
            </w:r>
            <w:r w:rsidR="00320849">
              <w:rPr>
                <w:noProof/>
                <w:webHidden/>
              </w:rPr>
              <w:fldChar w:fldCharType="begin"/>
            </w:r>
            <w:r w:rsidR="00320849">
              <w:rPr>
                <w:noProof/>
                <w:webHidden/>
              </w:rPr>
              <w:instrText xml:space="preserve"> PAGEREF _Toc33443323 \h </w:instrText>
            </w:r>
            <w:r w:rsidR="00320849">
              <w:rPr>
                <w:noProof/>
                <w:webHidden/>
              </w:rPr>
            </w:r>
            <w:r w:rsidR="00320849">
              <w:rPr>
                <w:noProof/>
                <w:webHidden/>
              </w:rPr>
              <w:fldChar w:fldCharType="separate"/>
            </w:r>
            <w:r w:rsidR="00320849">
              <w:rPr>
                <w:noProof/>
                <w:webHidden/>
              </w:rPr>
              <w:t>40</w:t>
            </w:r>
            <w:r w:rsidR="00320849">
              <w:rPr>
                <w:noProof/>
                <w:webHidden/>
              </w:rPr>
              <w:fldChar w:fldCharType="end"/>
            </w:r>
          </w:hyperlink>
        </w:p>
        <w:p w14:paraId="3CBEF15A" w14:textId="608AFDDA" w:rsidR="00320849" w:rsidRDefault="000A7ECF">
          <w:pPr>
            <w:pStyle w:val="TableofFigures"/>
            <w:rPr>
              <w:rFonts w:asciiTheme="minorHAnsi" w:eastAsiaTheme="minorEastAsia" w:hAnsiTheme="minorHAnsi"/>
              <w:noProof/>
              <w:lang w:eastAsia="en-GB"/>
            </w:rPr>
          </w:pPr>
          <w:hyperlink w:anchor="_Toc33443324" w:history="1">
            <w:r w:rsidR="00320849" w:rsidRPr="00CB0EFA">
              <w:rPr>
                <w:rStyle w:val="Hyperlink"/>
                <w:noProof/>
              </w:rPr>
              <w:t>Annex Table 4.A.1. Overview of tax incentives available to investors in SEZs</w:t>
            </w:r>
            <w:r w:rsidR="00320849">
              <w:rPr>
                <w:noProof/>
                <w:webHidden/>
              </w:rPr>
              <w:tab/>
            </w:r>
            <w:r w:rsidR="00320849">
              <w:rPr>
                <w:noProof/>
                <w:webHidden/>
              </w:rPr>
              <w:fldChar w:fldCharType="begin"/>
            </w:r>
            <w:r w:rsidR="00320849">
              <w:rPr>
                <w:noProof/>
                <w:webHidden/>
              </w:rPr>
              <w:instrText xml:space="preserve"> PAGEREF _Toc33443324 \h </w:instrText>
            </w:r>
            <w:r w:rsidR="00320849">
              <w:rPr>
                <w:noProof/>
                <w:webHidden/>
              </w:rPr>
            </w:r>
            <w:r w:rsidR="00320849">
              <w:rPr>
                <w:noProof/>
                <w:webHidden/>
              </w:rPr>
              <w:fldChar w:fldCharType="separate"/>
            </w:r>
            <w:r w:rsidR="00320849">
              <w:rPr>
                <w:noProof/>
                <w:webHidden/>
              </w:rPr>
              <w:t>53</w:t>
            </w:r>
            <w:r w:rsidR="00320849">
              <w:rPr>
                <w:noProof/>
                <w:webHidden/>
              </w:rPr>
              <w:fldChar w:fldCharType="end"/>
            </w:r>
          </w:hyperlink>
        </w:p>
        <w:p w14:paraId="207F1A3C" w14:textId="7AF9C2FD" w:rsidR="00157F38" w:rsidRDefault="00157F38" w:rsidP="00263CAB">
          <w:r>
            <w:rPr>
              <w:b/>
              <w:bCs/>
              <w:noProof/>
              <w:lang w:val="en-US"/>
            </w:rPr>
            <w:fldChar w:fldCharType="end"/>
          </w:r>
        </w:p>
        <w:p w14:paraId="6CC5A8DF" w14:textId="77777777" w:rsidR="00157F38" w:rsidRDefault="00157F38" w:rsidP="00263CAB">
          <w:pPr>
            <w:pStyle w:val="Subtitle"/>
            <w:rPr>
              <w:rFonts w:hint="eastAsia"/>
            </w:rPr>
          </w:pPr>
          <w:r>
            <w:t>Figures</w:t>
          </w:r>
        </w:p>
        <w:p w14:paraId="1A329C2C" w14:textId="773354C0" w:rsidR="00320849" w:rsidRDefault="00157F38">
          <w:pPr>
            <w:pStyle w:val="TableofFigures"/>
            <w:rPr>
              <w:rFonts w:asciiTheme="minorHAnsi" w:eastAsiaTheme="minorEastAsia" w:hAnsiTheme="minorHAnsi"/>
              <w:noProof/>
              <w:lang w:eastAsia="en-GB"/>
            </w:rPr>
          </w:pPr>
          <w:r>
            <w:rPr>
              <w:b/>
              <w:bCs/>
              <w:noProof/>
              <w:lang w:val="en-US"/>
            </w:rPr>
            <w:fldChar w:fldCharType="begin"/>
          </w:r>
          <w:r>
            <w:rPr>
              <w:b/>
              <w:bCs/>
              <w:noProof/>
              <w:lang w:val="en-US"/>
            </w:rPr>
            <w:instrText xml:space="preserve"> TOC \h \z \c "Figure" </w:instrText>
          </w:r>
          <w:r>
            <w:rPr>
              <w:b/>
              <w:bCs/>
              <w:noProof/>
              <w:lang w:val="en-US"/>
            </w:rPr>
            <w:fldChar w:fldCharType="separate"/>
          </w:r>
          <w:hyperlink w:anchor="_Toc33443325" w:history="1">
            <w:r w:rsidR="00320849" w:rsidRPr="003E750D">
              <w:rPr>
                <w:rStyle w:val="Hyperlink"/>
                <w:noProof/>
              </w:rPr>
              <w:t>Figure 1.1. FDI’s importance relative to GDP has risen strikingly in Georgia and Azerbaijan</w:t>
            </w:r>
            <w:r w:rsidR="00320849">
              <w:rPr>
                <w:noProof/>
                <w:webHidden/>
              </w:rPr>
              <w:tab/>
            </w:r>
            <w:r w:rsidR="00320849">
              <w:rPr>
                <w:noProof/>
                <w:webHidden/>
              </w:rPr>
              <w:fldChar w:fldCharType="begin"/>
            </w:r>
            <w:r w:rsidR="00320849">
              <w:rPr>
                <w:noProof/>
                <w:webHidden/>
              </w:rPr>
              <w:instrText xml:space="preserve"> PAGEREF _Toc33443325 \h </w:instrText>
            </w:r>
            <w:r w:rsidR="00320849">
              <w:rPr>
                <w:noProof/>
                <w:webHidden/>
              </w:rPr>
            </w:r>
            <w:r w:rsidR="00320849">
              <w:rPr>
                <w:noProof/>
                <w:webHidden/>
              </w:rPr>
              <w:fldChar w:fldCharType="separate"/>
            </w:r>
            <w:r w:rsidR="00320849">
              <w:rPr>
                <w:noProof/>
                <w:webHidden/>
              </w:rPr>
              <w:t>12</w:t>
            </w:r>
            <w:r w:rsidR="00320849">
              <w:rPr>
                <w:noProof/>
                <w:webHidden/>
              </w:rPr>
              <w:fldChar w:fldCharType="end"/>
            </w:r>
          </w:hyperlink>
        </w:p>
        <w:p w14:paraId="229E0240" w14:textId="2469ABBE" w:rsidR="00320849" w:rsidRDefault="000A7ECF">
          <w:pPr>
            <w:pStyle w:val="TableofFigures"/>
            <w:rPr>
              <w:rFonts w:asciiTheme="minorHAnsi" w:eastAsiaTheme="minorEastAsia" w:hAnsiTheme="minorHAnsi"/>
              <w:noProof/>
              <w:lang w:eastAsia="en-GB"/>
            </w:rPr>
          </w:pPr>
          <w:hyperlink w:anchor="_Toc33443326" w:history="1">
            <w:r w:rsidR="00320849" w:rsidRPr="003E750D">
              <w:rPr>
                <w:rStyle w:val="Hyperlink"/>
                <w:noProof/>
              </w:rPr>
              <w:t>Figure 1.2. Georgia and Armenia attract growing shares of the regions FDI stock</w:t>
            </w:r>
            <w:r w:rsidR="00320849">
              <w:rPr>
                <w:noProof/>
                <w:webHidden/>
              </w:rPr>
              <w:tab/>
            </w:r>
            <w:r w:rsidR="00320849">
              <w:rPr>
                <w:noProof/>
                <w:webHidden/>
              </w:rPr>
              <w:fldChar w:fldCharType="begin"/>
            </w:r>
            <w:r w:rsidR="00320849">
              <w:rPr>
                <w:noProof/>
                <w:webHidden/>
              </w:rPr>
              <w:instrText xml:space="preserve"> PAGEREF _Toc33443326 \h </w:instrText>
            </w:r>
            <w:r w:rsidR="00320849">
              <w:rPr>
                <w:noProof/>
                <w:webHidden/>
              </w:rPr>
            </w:r>
            <w:r w:rsidR="00320849">
              <w:rPr>
                <w:noProof/>
                <w:webHidden/>
              </w:rPr>
              <w:fldChar w:fldCharType="separate"/>
            </w:r>
            <w:r w:rsidR="00320849">
              <w:rPr>
                <w:noProof/>
                <w:webHidden/>
              </w:rPr>
              <w:t>12</w:t>
            </w:r>
            <w:r w:rsidR="00320849">
              <w:rPr>
                <w:noProof/>
                <w:webHidden/>
              </w:rPr>
              <w:fldChar w:fldCharType="end"/>
            </w:r>
          </w:hyperlink>
        </w:p>
        <w:p w14:paraId="22C928EB" w14:textId="4306DD5E" w:rsidR="00320849" w:rsidRDefault="000A7ECF">
          <w:pPr>
            <w:pStyle w:val="TableofFigures"/>
            <w:rPr>
              <w:rFonts w:asciiTheme="minorHAnsi" w:eastAsiaTheme="minorEastAsia" w:hAnsiTheme="minorHAnsi"/>
              <w:noProof/>
              <w:lang w:eastAsia="en-GB"/>
            </w:rPr>
          </w:pPr>
          <w:hyperlink w:anchor="_Toc33443327" w:history="1">
            <w:r w:rsidR="00320849" w:rsidRPr="003E750D">
              <w:rPr>
                <w:rStyle w:val="Hyperlink"/>
                <w:noProof/>
              </w:rPr>
              <w:t>Figure 1.3. FDI flows remain low in EaP countries</w:t>
            </w:r>
            <w:r w:rsidR="00320849">
              <w:rPr>
                <w:noProof/>
                <w:webHidden/>
              </w:rPr>
              <w:tab/>
            </w:r>
            <w:r w:rsidR="00320849">
              <w:rPr>
                <w:noProof/>
                <w:webHidden/>
              </w:rPr>
              <w:fldChar w:fldCharType="begin"/>
            </w:r>
            <w:r w:rsidR="00320849">
              <w:rPr>
                <w:noProof/>
                <w:webHidden/>
              </w:rPr>
              <w:instrText xml:space="preserve"> PAGEREF _Toc33443327 \h </w:instrText>
            </w:r>
            <w:r w:rsidR="00320849">
              <w:rPr>
                <w:noProof/>
                <w:webHidden/>
              </w:rPr>
            </w:r>
            <w:r w:rsidR="00320849">
              <w:rPr>
                <w:noProof/>
                <w:webHidden/>
              </w:rPr>
              <w:fldChar w:fldCharType="separate"/>
            </w:r>
            <w:r w:rsidR="00320849">
              <w:rPr>
                <w:noProof/>
                <w:webHidden/>
              </w:rPr>
              <w:t>13</w:t>
            </w:r>
            <w:r w:rsidR="00320849">
              <w:rPr>
                <w:noProof/>
                <w:webHidden/>
              </w:rPr>
              <w:fldChar w:fldCharType="end"/>
            </w:r>
          </w:hyperlink>
        </w:p>
        <w:p w14:paraId="1A3386C8" w14:textId="39358487" w:rsidR="00320849" w:rsidRDefault="000A7ECF">
          <w:pPr>
            <w:pStyle w:val="TableofFigures"/>
            <w:rPr>
              <w:rFonts w:asciiTheme="minorHAnsi" w:eastAsiaTheme="minorEastAsia" w:hAnsiTheme="minorHAnsi"/>
              <w:noProof/>
              <w:lang w:eastAsia="en-GB"/>
            </w:rPr>
          </w:pPr>
          <w:hyperlink w:anchor="_Toc33443328" w:history="1">
            <w:r w:rsidR="00320849" w:rsidRPr="003E750D">
              <w:rPr>
                <w:rStyle w:val="Hyperlink"/>
                <w:noProof/>
              </w:rPr>
              <w:t>Figure 1.4. Greenfield investments are dominated by services, fossil fuels and construction</w:t>
            </w:r>
            <w:r w:rsidR="00320849">
              <w:rPr>
                <w:noProof/>
                <w:webHidden/>
              </w:rPr>
              <w:tab/>
            </w:r>
            <w:r w:rsidR="00320849">
              <w:rPr>
                <w:noProof/>
                <w:webHidden/>
              </w:rPr>
              <w:fldChar w:fldCharType="begin"/>
            </w:r>
            <w:r w:rsidR="00320849">
              <w:rPr>
                <w:noProof/>
                <w:webHidden/>
              </w:rPr>
              <w:instrText xml:space="preserve"> PAGEREF _Toc33443328 \h </w:instrText>
            </w:r>
            <w:r w:rsidR="00320849">
              <w:rPr>
                <w:noProof/>
                <w:webHidden/>
              </w:rPr>
            </w:r>
            <w:r w:rsidR="00320849">
              <w:rPr>
                <w:noProof/>
                <w:webHidden/>
              </w:rPr>
              <w:fldChar w:fldCharType="separate"/>
            </w:r>
            <w:r w:rsidR="00320849">
              <w:rPr>
                <w:noProof/>
                <w:webHidden/>
              </w:rPr>
              <w:t>14</w:t>
            </w:r>
            <w:r w:rsidR="00320849">
              <w:rPr>
                <w:noProof/>
                <w:webHidden/>
              </w:rPr>
              <w:fldChar w:fldCharType="end"/>
            </w:r>
          </w:hyperlink>
        </w:p>
        <w:p w14:paraId="45C65E1A" w14:textId="4AA54B9C" w:rsidR="00320849" w:rsidRDefault="000A7ECF">
          <w:pPr>
            <w:pStyle w:val="TableofFigures"/>
            <w:rPr>
              <w:rFonts w:asciiTheme="minorHAnsi" w:eastAsiaTheme="minorEastAsia" w:hAnsiTheme="minorHAnsi"/>
              <w:noProof/>
              <w:lang w:eastAsia="en-GB"/>
            </w:rPr>
          </w:pPr>
          <w:hyperlink w:anchor="_Toc33443329" w:history="1">
            <w:r w:rsidR="00320849" w:rsidRPr="003E750D">
              <w:rPr>
                <w:rStyle w:val="Hyperlink"/>
                <w:noProof/>
              </w:rPr>
              <w:t>Figure 1.5. Selected SDG outcomes of FDI</w:t>
            </w:r>
            <w:r w:rsidR="00320849">
              <w:rPr>
                <w:noProof/>
                <w:webHidden/>
              </w:rPr>
              <w:tab/>
            </w:r>
            <w:r w:rsidR="00320849">
              <w:rPr>
                <w:noProof/>
                <w:webHidden/>
              </w:rPr>
              <w:fldChar w:fldCharType="begin"/>
            </w:r>
            <w:r w:rsidR="00320849">
              <w:rPr>
                <w:noProof/>
                <w:webHidden/>
              </w:rPr>
              <w:instrText xml:space="preserve"> PAGEREF _Toc33443329 \h </w:instrText>
            </w:r>
            <w:r w:rsidR="00320849">
              <w:rPr>
                <w:noProof/>
                <w:webHidden/>
              </w:rPr>
            </w:r>
            <w:r w:rsidR="00320849">
              <w:rPr>
                <w:noProof/>
                <w:webHidden/>
              </w:rPr>
              <w:fldChar w:fldCharType="separate"/>
            </w:r>
            <w:r w:rsidR="00320849">
              <w:rPr>
                <w:noProof/>
                <w:webHidden/>
              </w:rPr>
              <w:t>16</w:t>
            </w:r>
            <w:r w:rsidR="00320849">
              <w:rPr>
                <w:noProof/>
                <w:webHidden/>
              </w:rPr>
              <w:fldChar w:fldCharType="end"/>
            </w:r>
          </w:hyperlink>
        </w:p>
        <w:p w14:paraId="6614F52B" w14:textId="34C9A7C2" w:rsidR="00320849" w:rsidRDefault="000A7ECF">
          <w:pPr>
            <w:pStyle w:val="TableofFigures"/>
            <w:rPr>
              <w:rFonts w:asciiTheme="minorHAnsi" w:eastAsiaTheme="minorEastAsia" w:hAnsiTheme="minorHAnsi"/>
              <w:noProof/>
              <w:lang w:eastAsia="en-GB"/>
            </w:rPr>
          </w:pPr>
          <w:hyperlink w:anchor="_Toc33443330" w:history="1">
            <w:r w:rsidR="00320849" w:rsidRPr="003E750D">
              <w:rPr>
                <w:rStyle w:val="Hyperlink"/>
                <w:noProof/>
              </w:rPr>
              <w:t xml:space="preserve">Figure 2.1. OECD </w:t>
            </w:r>
            <w:r w:rsidR="00320849" w:rsidRPr="003E750D">
              <w:rPr>
                <w:rStyle w:val="Hyperlink"/>
                <w:i/>
                <w:noProof/>
              </w:rPr>
              <w:t>FDI Regulatory Restrictiveness Index</w:t>
            </w:r>
            <w:r w:rsidR="00320849" w:rsidRPr="003E750D">
              <w:rPr>
                <w:rStyle w:val="Hyperlink"/>
                <w:noProof/>
              </w:rPr>
              <w:t xml:space="preserve"> (2018)</w:t>
            </w:r>
            <w:r w:rsidR="00320849">
              <w:rPr>
                <w:noProof/>
                <w:webHidden/>
              </w:rPr>
              <w:tab/>
            </w:r>
            <w:r w:rsidR="00320849">
              <w:rPr>
                <w:noProof/>
                <w:webHidden/>
              </w:rPr>
              <w:fldChar w:fldCharType="begin"/>
            </w:r>
            <w:r w:rsidR="00320849">
              <w:rPr>
                <w:noProof/>
                <w:webHidden/>
              </w:rPr>
              <w:instrText xml:space="preserve"> PAGEREF _Toc33443330 \h </w:instrText>
            </w:r>
            <w:r w:rsidR="00320849">
              <w:rPr>
                <w:noProof/>
                <w:webHidden/>
              </w:rPr>
            </w:r>
            <w:r w:rsidR="00320849">
              <w:rPr>
                <w:noProof/>
                <w:webHidden/>
              </w:rPr>
              <w:fldChar w:fldCharType="separate"/>
            </w:r>
            <w:r w:rsidR="00320849">
              <w:rPr>
                <w:noProof/>
                <w:webHidden/>
              </w:rPr>
              <w:t>21</w:t>
            </w:r>
            <w:r w:rsidR="00320849">
              <w:rPr>
                <w:noProof/>
                <w:webHidden/>
              </w:rPr>
              <w:fldChar w:fldCharType="end"/>
            </w:r>
          </w:hyperlink>
        </w:p>
        <w:p w14:paraId="4D0E57C6" w14:textId="46FFCFE0" w:rsidR="00320849" w:rsidRDefault="000A7ECF">
          <w:pPr>
            <w:pStyle w:val="TableofFigures"/>
            <w:rPr>
              <w:rFonts w:asciiTheme="minorHAnsi" w:eastAsiaTheme="minorEastAsia" w:hAnsiTheme="minorHAnsi"/>
              <w:noProof/>
              <w:lang w:eastAsia="en-GB"/>
            </w:rPr>
          </w:pPr>
          <w:hyperlink w:anchor="_Toc33443331" w:history="1">
            <w:r w:rsidR="00320849" w:rsidRPr="003E750D">
              <w:rPr>
                <w:rStyle w:val="Hyperlink"/>
                <w:noProof/>
              </w:rPr>
              <w:t xml:space="preserve">Figure 2.2. OECD </w:t>
            </w:r>
            <w:r w:rsidR="00320849" w:rsidRPr="003E750D">
              <w:rPr>
                <w:rStyle w:val="Hyperlink"/>
                <w:i/>
                <w:noProof/>
              </w:rPr>
              <w:t xml:space="preserve">FDI Regulatory Restrictiveness Index </w:t>
            </w:r>
            <w:r w:rsidR="00320849" w:rsidRPr="003E750D">
              <w:rPr>
                <w:rStyle w:val="Hyperlink"/>
                <w:noProof/>
              </w:rPr>
              <w:t>by sector (2018)</w:t>
            </w:r>
            <w:r w:rsidR="00320849">
              <w:rPr>
                <w:noProof/>
                <w:webHidden/>
              </w:rPr>
              <w:tab/>
            </w:r>
            <w:r w:rsidR="00320849">
              <w:rPr>
                <w:noProof/>
                <w:webHidden/>
              </w:rPr>
              <w:fldChar w:fldCharType="begin"/>
            </w:r>
            <w:r w:rsidR="00320849">
              <w:rPr>
                <w:noProof/>
                <w:webHidden/>
              </w:rPr>
              <w:instrText xml:space="preserve"> PAGEREF _Toc33443331 \h </w:instrText>
            </w:r>
            <w:r w:rsidR="00320849">
              <w:rPr>
                <w:noProof/>
                <w:webHidden/>
              </w:rPr>
            </w:r>
            <w:r w:rsidR="00320849">
              <w:rPr>
                <w:noProof/>
                <w:webHidden/>
              </w:rPr>
              <w:fldChar w:fldCharType="separate"/>
            </w:r>
            <w:r w:rsidR="00320849">
              <w:rPr>
                <w:noProof/>
                <w:webHidden/>
              </w:rPr>
              <w:t>22</w:t>
            </w:r>
            <w:r w:rsidR="00320849">
              <w:rPr>
                <w:noProof/>
                <w:webHidden/>
              </w:rPr>
              <w:fldChar w:fldCharType="end"/>
            </w:r>
          </w:hyperlink>
        </w:p>
        <w:p w14:paraId="3A4A2903" w14:textId="0A53CA79" w:rsidR="00320849" w:rsidRDefault="000A7ECF">
          <w:pPr>
            <w:pStyle w:val="TableofFigures"/>
            <w:rPr>
              <w:rFonts w:asciiTheme="minorHAnsi" w:eastAsiaTheme="minorEastAsia" w:hAnsiTheme="minorHAnsi"/>
              <w:noProof/>
              <w:lang w:eastAsia="en-GB"/>
            </w:rPr>
          </w:pPr>
          <w:hyperlink w:anchor="_Toc33443332" w:history="1">
            <w:r w:rsidR="00320849" w:rsidRPr="003E750D">
              <w:rPr>
                <w:rStyle w:val="Hyperlink"/>
                <w:noProof/>
              </w:rPr>
              <w:t>Figure 3.1. Year of creation of IPAs</w:t>
            </w:r>
            <w:r w:rsidR="00320849">
              <w:rPr>
                <w:noProof/>
                <w:webHidden/>
              </w:rPr>
              <w:tab/>
            </w:r>
            <w:r w:rsidR="00320849">
              <w:rPr>
                <w:noProof/>
                <w:webHidden/>
              </w:rPr>
              <w:fldChar w:fldCharType="begin"/>
            </w:r>
            <w:r w:rsidR="00320849">
              <w:rPr>
                <w:noProof/>
                <w:webHidden/>
              </w:rPr>
              <w:instrText xml:space="preserve"> PAGEREF _Toc33443332 \h </w:instrText>
            </w:r>
            <w:r w:rsidR="00320849">
              <w:rPr>
                <w:noProof/>
                <w:webHidden/>
              </w:rPr>
            </w:r>
            <w:r w:rsidR="00320849">
              <w:rPr>
                <w:noProof/>
                <w:webHidden/>
              </w:rPr>
              <w:fldChar w:fldCharType="separate"/>
            </w:r>
            <w:r w:rsidR="00320849">
              <w:rPr>
                <w:noProof/>
                <w:webHidden/>
              </w:rPr>
              <w:t>27</w:t>
            </w:r>
            <w:r w:rsidR="00320849">
              <w:rPr>
                <w:noProof/>
                <w:webHidden/>
              </w:rPr>
              <w:fldChar w:fldCharType="end"/>
            </w:r>
          </w:hyperlink>
        </w:p>
        <w:p w14:paraId="4A142903" w14:textId="2FB52137" w:rsidR="00320849" w:rsidRDefault="000A7ECF">
          <w:pPr>
            <w:pStyle w:val="TableofFigures"/>
            <w:rPr>
              <w:rFonts w:asciiTheme="minorHAnsi" w:eastAsiaTheme="minorEastAsia" w:hAnsiTheme="minorHAnsi"/>
              <w:noProof/>
              <w:lang w:eastAsia="en-GB"/>
            </w:rPr>
          </w:pPr>
          <w:hyperlink w:anchor="_Toc33443333" w:history="1">
            <w:r w:rsidR="00320849" w:rsidRPr="003E750D">
              <w:rPr>
                <w:rStyle w:val="Hyperlink"/>
                <w:noProof/>
              </w:rPr>
              <w:t>Figure 3.2.Number of official mandates and employees</w:t>
            </w:r>
            <w:r w:rsidR="00320849">
              <w:rPr>
                <w:noProof/>
                <w:webHidden/>
              </w:rPr>
              <w:tab/>
            </w:r>
            <w:r w:rsidR="00320849">
              <w:rPr>
                <w:noProof/>
                <w:webHidden/>
              </w:rPr>
              <w:fldChar w:fldCharType="begin"/>
            </w:r>
            <w:r w:rsidR="00320849">
              <w:rPr>
                <w:noProof/>
                <w:webHidden/>
              </w:rPr>
              <w:instrText xml:space="preserve"> PAGEREF _Toc33443333 \h </w:instrText>
            </w:r>
            <w:r w:rsidR="00320849">
              <w:rPr>
                <w:noProof/>
                <w:webHidden/>
              </w:rPr>
            </w:r>
            <w:r w:rsidR="00320849">
              <w:rPr>
                <w:noProof/>
                <w:webHidden/>
              </w:rPr>
              <w:fldChar w:fldCharType="separate"/>
            </w:r>
            <w:r w:rsidR="00320849">
              <w:rPr>
                <w:noProof/>
                <w:webHidden/>
              </w:rPr>
              <w:t>29</w:t>
            </w:r>
            <w:r w:rsidR="00320849">
              <w:rPr>
                <w:noProof/>
                <w:webHidden/>
              </w:rPr>
              <w:fldChar w:fldCharType="end"/>
            </w:r>
          </w:hyperlink>
        </w:p>
        <w:p w14:paraId="02763887" w14:textId="53374D1A" w:rsidR="00320849" w:rsidRDefault="000A7ECF">
          <w:pPr>
            <w:pStyle w:val="TableofFigures"/>
            <w:rPr>
              <w:rFonts w:asciiTheme="minorHAnsi" w:eastAsiaTheme="minorEastAsia" w:hAnsiTheme="minorHAnsi"/>
              <w:noProof/>
              <w:lang w:eastAsia="en-GB"/>
            </w:rPr>
          </w:pPr>
          <w:hyperlink w:anchor="_Toc33443334" w:history="1">
            <w:r w:rsidR="00320849" w:rsidRPr="003E750D">
              <w:rPr>
                <w:rStyle w:val="Hyperlink"/>
                <w:noProof/>
              </w:rPr>
              <w:t>Figure 3.3. Number of mandates and employees of IPAs</w:t>
            </w:r>
            <w:r w:rsidR="00320849">
              <w:rPr>
                <w:noProof/>
                <w:webHidden/>
              </w:rPr>
              <w:tab/>
            </w:r>
            <w:r w:rsidR="00320849">
              <w:rPr>
                <w:noProof/>
                <w:webHidden/>
              </w:rPr>
              <w:fldChar w:fldCharType="begin"/>
            </w:r>
            <w:r w:rsidR="00320849">
              <w:rPr>
                <w:noProof/>
                <w:webHidden/>
              </w:rPr>
              <w:instrText xml:space="preserve"> PAGEREF _Toc33443334 \h </w:instrText>
            </w:r>
            <w:r w:rsidR="00320849">
              <w:rPr>
                <w:noProof/>
                <w:webHidden/>
              </w:rPr>
            </w:r>
            <w:r w:rsidR="00320849">
              <w:rPr>
                <w:noProof/>
                <w:webHidden/>
              </w:rPr>
              <w:fldChar w:fldCharType="separate"/>
            </w:r>
            <w:r w:rsidR="00320849">
              <w:rPr>
                <w:noProof/>
                <w:webHidden/>
              </w:rPr>
              <w:t>30</w:t>
            </w:r>
            <w:r w:rsidR="00320849">
              <w:rPr>
                <w:noProof/>
                <w:webHidden/>
              </w:rPr>
              <w:fldChar w:fldCharType="end"/>
            </w:r>
          </w:hyperlink>
        </w:p>
        <w:p w14:paraId="0C633DC1" w14:textId="6F294231" w:rsidR="00320849" w:rsidRDefault="000A7ECF">
          <w:pPr>
            <w:pStyle w:val="TableofFigures"/>
            <w:rPr>
              <w:rFonts w:asciiTheme="minorHAnsi" w:eastAsiaTheme="minorEastAsia" w:hAnsiTheme="minorHAnsi"/>
              <w:noProof/>
              <w:lang w:eastAsia="en-GB"/>
            </w:rPr>
          </w:pPr>
          <w:hyperlink w:anchor="_Toc33443335" w:history="1">
            <w:r w:rsidR="00320849" w:rsidRPr="003E750D">
              <w:rPr>
                <w:rStyle w:val="Hyperlink"/>
                <w:noProof/>
              </w:rPr>
              <w:t>Figure 3.4. Board members in Ukraine Invest and selected other IPAs</w:t>
            </w:r>
            <w:r w:rsidR="00320849">
              <w:rPr>
                <w:noProof/>
                <w:webHidden/>
              </w:rPr>
              <w:tab/>
            </w:r>
            <w:r w:rsidR="00320849">
              <w:rPr>
                <w:noProof/>
                <w:webHidden/>
              </w:rPr>
              <w:fldChar w:fldCharType="begin"/>
            </w:r>
            <w:r w:rsidR="00320849">
              <w:rPr>
                <w:noProof/>
                <w:webHidden/>
              </w:rPr>
              <w:instrText xml:space="preserve"> PAGEREF _Toc33443335 \h </w:instrText>
            </w:r>
            <w:r w:rsidR="00320849">
              <w:rPr>
                <w:noProof/>
                <w:webHidden/>
              </w:rPr>
            </w:r>
            <w:r w:rsidR="00320849">
              <w:rPr>
                <w:noProof/>
                <w:webHidden/>
              </w:rPr>
              <w:fldChar w:fldCharType="separate"/>
            </w:r>
            <w:r w:rsidR="00320849">
              <w:rPr>
                <w:noProof/>
                <w:webHidden/>
              </w:rPr>
              <w:t>31</w:t>
            </w:r>
            <w:r w:rsidR="00320849">
              <w:rPr>
                <w:noProof/>
                <w:webHidden/>
              </w:rPr>
              <w:fldChar w:fldCharType="end"/>
            </w:r>
          </w:hyperlink>
        </w:p>
        <w:p w14:paraId="5644DD1F" w14:textId="2701E803" w:rsidR="00320849" w:rsidRDefault="000A7ECF">
          <w:pPr>
            <w:pStyle w:val="TableofFigures"/>
            <w:rPr>
              <w:rFonts w:asciiTheme="minorHAnsi" w:eastAsiaTheme="minorEastAsia" w:hAnsiTheme="minorHAnsi"/>
              <w:noProof/>
              <w:lang w:eastAsia="en-GB"/>
            </w:rPr>
          </w:pPr>
          <w:hyperlink w:anchor="_Toc33443336" w:history="1">
            <w:r w:rsidR="00320849" w:rsidRPr="003E750D">
              <w:rPr>
                <w:rStyle w:val="Hyperlink"/>
                <w:noProof/>
              </w:rPr>
              <w:t xml:space="preserve">Figure 3.5. </w:t>
            </w:r>
            <w:r w:rsidR="00320849" w:rsidRPr="003E750D">
              <w:rPr>
                <w:rStyle w:val="Hyperlink"/>
                <w:rFonts w:eastAsia="Batang"/>
                <w:noProof/>
              </w:rPr>
              <w:t>Estimated use of staff across the four investment promotion functions</w:t>
            </w:r>
            <w:r w:rsidR="00320849">
              <w:rPr>
                <w:noProof/>
                <w:webHidden/>
              </w:rPr>
              <w:tab/>
            </w:r>
            <w:r w:rsidR="00320849">
              <w:rPr>
                <w:noProof/>
                <w:webHidden/>
              </w:rPr>
              <w:fldChar w:fldCharType="begin"/>
            </w:r>
            <w:r w:rsidR="00320849">
              <w:rPr>
                <w:noProof/>
                <w:webHidden/>
              </w:rPr>
              <w:instrText xml:space="preserve"> PAGEREF _Toc33443336 \h </w:instrText>
            </w:r>
            <w:r w:rsidR="00320849">
              <w:rPr>
                <w:noProof/>
                <w:webHidden/>
              </w:rPr>
            </w:r>
            <w:r w:rsidR="00320849">
              <w:rPr>
                <w:noProof/>
                <w:webHidden/>
              </w:rPr>
              <w:fldChar w:fldCharType="separate"/>
            </w:r>
            <w:r w:rsidR="00320849">
              <w:rPr>
                <w:noProof/>
                <w:webHidden/>
              </w:rPr>
              <w:t>32</w:t>
            </w:r>
            <w:r w:rsidR="00320849">
              <w:rPr>
                <w:noProof/>
                <w:webHidden/>
              </w:rPr>
              <w:fldChar w:fldCharType="end"/>
            </w:r>
          </w:hyperlink>
        </w:p>
        <w:p w14:paraId="2AE3CE16" w14:textId="66C9B57A" w:rsidR="00320849" w:rsidRDefault="000A7ECF">
          <w:pPr>
            <w:pStyle w:val="TableofFigures"/>
            <w:rPr>
              <w:rFonts w:asciiTheme="minorHAnsi" w:eastAsiaTheme="minorEastAsia" w:hAnsiTheme="minorHAnsi"/>
              <w:noProof/>
              <w:lang w:eastAsia="en-GB"/>
            </w:rPr>
          </w:pPr>
          <w:hyperlink w:anchor="_Toc33443337" w:history="1">
            <w:r w:rsidR="00320849" w:rsidRPr="003E750D">
              <w:rPr>
                <w:rStyle w:val="Hyperlink"/>
                <w:noProof/>
              </w:rPr>
              <w:t>Figure 3.6. Assistance with administrative procedures</w:t>
            </w:r>
            <w:r w:rsidR="00320849">
              <w:rPr>
                <w:noProof/>
                <w:webHidden/>
              </w:rPr>
              <w:tab/>
            </w:r>
            <w:r w:rsidR="00320849">
              <w:rPr>
                <w:noProof/>
                <w:webHidden/>
              </w:rPr>
              <w:fldChar w:fldCharType="begin"/>
            </w:r>
            <w:r w:rsidR="00320849">
              <w:rPr>
                <w:noProof/>
                <w:webHidden/>
              </w:rPr>
              <w:instrText xml:space="preserve"> PAGEREF _Toc33443337 \h </w:instrText>
            </w:r>
            <w:r w:rsidR="00320849">
              <w:rPr>
                <w:noProof/>
                <w:webHidden/>
              </w:rPr>
            </w:r>
            <w:r w:rsidR="00320849">
              <w:rPr>
                <w:noProof/>
                <w:webHidden/>
              </w:rPr>
              <w:fldChar w:fldCharType="separate"/>
            </w:r>
            <w:r w:rsidR="00320849">
              <w:rPr>
                <w:noProof/>
                <w:webHidden/>
              </w:rPr>
              <w:t>37</w:t>
            </w:r>
            <w:r w:rsidR="00320849">
              <w:rPr>
                <w:noProof/>
                <w:webHidden/>
              </w:rPr>
              <w:fldChar w:fldCharType="end"/>
            </w:r>
          </w:hyperlink>
        </w:p>
        <w:p w14:paraId="0065F8C3" w14:textId="3F37BD20" w:rsidR="00320849" w:rsidRDefault="000A7ECF">
          <w:pPr>
            <w:pStyle w:val="TableofFigures"/>
            <w:rPr>
              <w:rFonts w:asciiTheme="minorHAnsi" w:eastAsiaTheme="minorEastAsia" w:hAnsiTheme="minorHAnsi"/>
              <w:noProof/>
              <w:lang w:eastAsia="en-GB"/>
            </w:rPr>
          </w:pPr>
          <w:hyperlink w:anchor="_Toc33443338" w:history="1">
            <w:r w:rsidR="00320849" w:rsidRPr="003E750D">
              <w:rPr>
                <w:rStyle w:val="Hyperlink"/>
                <w:noProof/>
              </w:rPr>
              <w:t>Figure 4.1. Statutory CIT rates in EaP countries</w:t>
            </w:r>
            <w:r w:rsidR="00320849">
              <w:rPr>
                <w:noProof/>
                <w:webHidden/>
              </w:rPr>
              <w:tab/>
            </w:r>
            <w:r w:rsidR="00320849">
              <w:rPr>
                <w:noProof/>
                <w:webHidden/>
              </w:rPr>
              <w:fldChar w:fldCharType="begin"/>
            </w:r>
            <w:r w:rsidR="00320849">
              <w:rPr>
                <w:noProof/>
                <w:webHidden/>
              </w:rPr>
              <w:instrText xml:space="preserve"> PAGEREF _Toc33443338 \h </w:instrText>
            </w:r>
            <w:r w:rsidR="00320849">
              <w:rPr>
                <w:noProof/>
                <w:webHidden/>
              </w:rPr>
            </w:r>
            <w:r w:rsidR="00320849">
              <w:rPr>
                <w:noProof/>
                <w:webHidden/>
              </w:rPr>
              <w:fldChar w:fldCharType="separate"/>
            </w:r>
            <w:r w:rsidR="00320849">
              <w:rPr>
                <w:noProof/>
                <w:webHidden/>
              </w:rPr>
              <w:t>44</w:t>
            </w:r>
            <w:r w:rsidR="00320849">
              <w:rPr>
                <w:noProof/>
                <w:webHidden/>
              </w:rPr>
              <w:fldChar w:fldCharType="end"/>
            </w:r>
          </w:hyperlink>
        </w:p>
        <w:p w14:paraId="6305115A" w14:textId="60D7BCFA" w:rsidR="00320849" w:rsidRDefault="000A7ECF">
          <w:pPr>
            <w:pStyle w:val="TableofFigures"/>
            <w:rPr>
              <w:rFonts w:asciiTheme="minorHAnsi" w:eastAsiaTheme="minorEastAsia" w:hAnsiTheme="minorHAnsi"/>
              <w:noProof/>
              <w:lang w:eastAsia="en-GB"/>
            </w:rPr>
          </w:pPr>
          <w:hyperlink w:anchor="_Toc33443339" w:history="1">
            <w:r w:rsidR="00320849" w:rsidRPr="003E750D">
              <w:rPr>
                <w:rStyle w:val="Hyperlink"/>
                <w:noProof/>
              </w:rPr>
              <w:t>Figure 4.2. Ease of paying taxes in EaP countries</w:t>
            </w:r>
            <w:r w:rsidR="00320849">
              <w:rPr>
                <w:noProof/>
                <w:webHidden/>
              </w:rPr>
              <w:tab/>
            </w:r>
            <w:r w:rsidR="00320849">
              <w:rPr>
                <w:noProof/>
                <w:webHidden/>
              </w:rPr>
              <w:fldChar w:fldCharType="begin"/>
            </w:r>
            <w:r w:rsidR="00320849">
              <w:rPr>
                <w:noProof/>
                <w:webHidden/>
              </w:rPr>
              <w:instrText xml:space="preserve"> PAGEREF _Toc33443339 \h </w:instrText>
            </w:r>
            <w:r w:rsidR="00320849">
              <w:rPr>
                <w:noProof/>
                <w:webHidden/>
              </w:rPr>
            </w:r>
            <w:r w:rsidR="00320849">
              <w:rPr>
                <w:noProof/>
                <w:webHidden/>
              </w:rPr>
              <w:fldChar w:fldCharType="separate"/>
            </w:r>
            <w:r w:rsidR="00320849">
              <w:rPr>
                <w:noProof/>
                <w:webHidden/>
              </w:rPr>
              <w:t>46</w:t>
            </w:r>
            <w:r w:rsidR="00320849">
              <w:rPr>
                <w:noProof/>
                <w:webHidden/>
              </w:rPr>
              <w:fldChar w:fldCharType="end"/>
            </w:r>
          </w:hyperlink>
        </w:p>
        <w:p w14:paraId="54779298" w14:textId="60CF0C45" w:rsidR="00320849" w:rsidRDefault="000A7ECF">
          <w:pPr>
            <w:pStyle w:val="TableofFigures"/>
            <w:rPr>
              <w:rFonts w:asciiTheme="minorHAnsi" w:eastAsiaTheme="minorEastAsia" w:hAnsiTheme="minorHAnsi"/>
              <w:noProof/>
              <w:lang w:eastAsia="en-GB"/>
            </w:rPr>
          </w:pPr>
          <w:hyperlink w:anchor="_Toc33443340" w:history="1">
            <w:r w:rsidR="00320849" w:rsidRPr="003E750D">
              <w:rPr>
                <w:rStyle w:val="Hyperlink"/>
                <w:noProof/>
              </w:rPr>
              <w:t>Figure 4.3. Typical investment incentive targets</w:t>
            </w:r>
            <w:r w:rsidR="00320849">
              <w:rPr>
                <w:noProof/>
                <w:webHidden/>
              </w:rPr>
              <w:tab/>
            </w:r>
            <w:r w:rsidR="00320849">
              <w:rPr>
                <w:noProof/>
                <w:webHidden/>
              </w:rPr>
              <w:fldChar w:fldCharType="begin"/>
            </w:r>
            <w:r w:rsidR="00320849">
              <w:rPr>
                <w:noProof/>
                <w:webHidden/>
              </w:rPr>
              <w:instrText xml:space="preserve"> PAGEREF _Toc33443340 \h </w:instrText>
            </w:r>
            <w:r w:rsidR="00320849">
              <w:rPr>
                <w:noProof/>
                <w:webHidden/>
              </w:rPr>
            </w:r>
            <w:r w:rsidR="00320849">
              <w:rPr>
                <w:noProof/>
                <w:webHidden/>
              </w:rPr>
              <w:fldChar w:fldCharType="separate"/>
            </w:r>
            <w:r w:rsidR="00320849">
              <w:rPr>
                <w:noProof/>
                <w:webHidden/>
              </w:rPr>
              <w:t>47</w:t>
            </w:r>
            <w:r w:rsidR="00320849">
              <w:rPr>
                <w:noProof/>
                <w:webHidden/>
              </w:rPr>
              <w:fldChar w:fldCharType="end"/>
            </w:r>
          </w:hyperlink>
        </w:p>
        <w:p w14:paraId="0A3FC4D6" w14:textId="534A09DF" w:rsidR="00320849" w:rsidRDefault="000A7ECF">
          <w:pPr>
            <w:pStyle w:val="TableofFigures"/>
            <w:rPr>
              <w:rFonts w:asciiTheme="minorHAnsi" w:eastAsiaTheme="minorEastAsia" w:hAnsiTheme="minorHAnsi"/>
              <w:noProof/>
              <w:lang w:eastAsia="en-GB"/>
            </w:rPr>
          </w:pPr>
          <w:hyperlink w:anchor="_Toc33443341" w:history="1">
            <w:r w:rsidR="00320849" w:rsidRPr="003E750D">
              <w:rPr>
                <w:rStyle w:val="Hyperlink"/>
                <w:noProof/>
              </w:rPr>
              <w:t>Figure 4.4. CIT rates in SEZs</w:t>
            </w:r>
            <w:r w:rsidR="00320849">
              <w:rPr>
                <w:noProof/>
                <w:webHidden/>
              </w:rPr>
              <w:tab/>
            </w:r>
            <w:r w:rsidR="00320849">
              <w:rPr>
                <w:noProof/>
                <w:webHidden/>
              </w:rPr>
              <w:fldChar w:fldCharType="begin"/>
            </w:r>
            <w:r w:rsidR="00320849">
              <w:rPr>
                <w:noProof/>
                <w:webHidden/>
              </w:rPr>
              <w:instrText xml:space="preserve"> PAGEREF _Toc33443341 \h </w:instrText>
            </w:r>
            <w:r w:rsidR="00320849">
              <w:rPr>
                <w:noProof/>
                <w:webHidden/>
              </w:rPr>
            </w:r>
            <w:r w:rsidR="00320849">
              <w:rPr>
                <w:noProof/>
                <w:webHidden/>
              </w:rPr>
              <w:fldChar w:fldCharType="separate"/>
            </w:r>
            <w:r w:rsidR="00320849">
              <w:rPr>
                <w:noProof/>
                <w:webHidden/>
              </w:rPr>
              <w:t>51</w:t>
            </w:r>
            <w:r w:rsidR="00320849">
              <w:rPr>
                <w:noProof/>
                <w:webHidden/>
              </w:rPr>
              <w:fldChar w:fldCharType="end"/>
            </w:r>
          </w:hyperlink>
        </w:p>
        <w:p w14:paraId="75EC681F" w14:textId="6D02A9A2" w:rsidR="00157F38" w:rsidRDefault="00157F38" w:rsidP="002B06D8">
          <w:pPr>
            <w:spacing w:after="100"/>
          </w:pPr>
          <w:r>
            <w:rPr>
              <w:b/>
              <w:bCs/>
              <w:noProof/>
              <w:lang w:val="en-US"/>
            </w:rPr>
            <w:fldChar w:fldCharType="end"/>
          </w:r>
        </w:p>
        <w:p w14:paraId="24CB5380" w14:textId="43E0F044" w:rsidR="00320849" w:rsidRDefault="00157F38">
          <w:pPr>
            <w:pStyle w:val="TableofFigures"/>
            <w:rPr>
              <w:rFonts w:asciiTheme="minorHAnsi" w:eastAsiaTheme="minorEastAsia" w:hAnsiTheme="minorHAnsi"/>
              <w:noProof/>
              <w:lang w:eastAsia="en-GB"/>
            </w:rPr>
          </w:pPr>
          <w:r>
            <w:rPr>
              <w:b/>
              <w:bCs/>
              <w:noProof/>
              <w:lang w:val="en-US"/>
            </w:rPr>
            <w:fldChar w:fldCharType="begin"/>
          </w:r>
          <w:r>
            <w:rPr>
              <w:b/>
              <w:bCs/>
              <w:noProof/>
              <w:lang w:val="en-US"/>
            </w:rPr>
            <w:instrText xml:space="preserve"> TOC \h \z \c "Annex Figure" </w:instrText>
          </w:r>
          <w:r>
            <w:rPr>
              <w:b/>
              <w:bCs/>
              <w:noProof/>
              <w:lang w:val="en-US"/>
            </w:rPr>
            <w:fldChar w:fldCharType="separate"/>
          </w:r>
          <w:hyperlink w:anchor="_Toc33443342" w:history="1">
            <w:r w:rsidR="00320849" w:rsidRPr="00572B1F">
              <w:rPr>
                <w:rStyle w:val="Hyperlink"/>
                <w:noProof/>
              </w:rPr>
              <w:t>Annex Figure 1.A.1. Distribution of greenfield projects by sector and country</w:t>
            </w:r>
            <w:r w:rsidR="00320849">
              <w:rPr>
                <w:noProof/>
                <w:webHidden/>
              </w:rPr>
              <w:tab/>
            </w:r>
            <w:r w:rsidR="00320849">
              <w:rPr>
                <w:noProof/>
                <w:webHidden/>
              </w:rPr>
              <w:fldChar w:fldCharType="begin"/>
            </w:r>
            <w:r w:rsidR="00320849">
              <w:rPr>
                <w:noProof/>
                <w:webHidden/>
              </w:rPr>
              <w:instrText xml:space="preserve"> PAGEREF _Toc33443342 \h </w:instrText>
            </w:r>
            <w:r w:rsidR="00320849">
              <w:rPr>
                <w:noProof/>
                <w:webHidden/>
              </w:rPr>
            </w:r>
            <w:r w:rsidR="00320849">
              <w:rPr>
                <w:noProof/>
                <w:webHidden/>
              </w:rPr>
              <w:fldChar w:fldCharType="separate"/>
            </w:r>
            <w:r w:rsidR="00320849">
              <w:rPr>
                <w:noProof/>
                <w:webHidden/>
              </w:rPr>
              <w:t>17</w:t>
            </w:r>
            <w:r w:rsidR="00320849">
              <w:rPr>
                <w:noProof/>
                <w:webHidden/>
              </w:rPr>
              <w:fldChar w:fldCharType="end"/>
            </w:r>
          </w:hyperlink>
        </w:p>
        <w:p w14:paraId="096369DF" w14:textId="0342628C" w:rsidR="00157F38" w:rsidRDefault="00157F38" w:rsidP="00263CAB">
          <w:r>
            <w:rPr>
              <w:b/>
              <w:bCs/>
              <w:noProof/>
              <w:lang w:val="en-US"/>
            </w:rPr>
            <w:fldChar w:fldCharType="end"/>
          </w:r>
        </w:p>
        <w:p w14:paraId="6E4E5F6C" w14:textId="77777777" w:rsidR="00157F38" w:rsidRDefault="00157F38" w:rsidP="00263CAB">
          <w:pPr>
            <w:pStyle w:val="Subtitle"/>
            <w:rPr>
              <w:rFonts w:hint="eastAsia"/>
            </w:rPr>
          </w:pPr>
          <w:r>
            <w:t>Boxes</w:t>
          </w:r>
        </w:p>
        <w:p w14:paraId="4C43C54E" w14:textId="2A3D3EC2" w:rsidR="00320849" w:rsidRDefault="00157F38">
          <w:pPr>
            <w:pStyle w:val="TableofFigures"/>
            <w:rPr>
              <w:rFonts w:asciiTheme="minorHAnsi" w:eastAsiaTheme="minorEastAsia" w:hAnsiTheme="minorHAnsi"/>
              <w:noProof/>
              <w:lang w:eastAsia="en-GB"/>
            </w:rPr>
          </w:pPr>
          <w:r>
            <w:rPr>
              <w:b/>
              <w:bCs/>
              <w:noProof/>
              <w:lang w:val="en-US"/>
            </w:rPr>
            <w:fldChar w:fldCharType="begin"/>
          </w:r>
          <w:r>
            <w:rPr>
              <w:b/>
              <w:bCs/>
              <w:noProof/>
              <w:lang w:val="en-US"/>
            </w:rPr>
            <w:instrText xml:space="preserve"> TOC \h \z \c "Box" </w:instrText>
          </w:r>
          <w:r>
            <w:rPr>
              <w:b/>
              <w:bCs/>
              <w:noProof/>
              <w:lang w:val="en-US"/>
            </w:rPr>
            <w:fldChar w:fldCharType="separate"/>
          </w:r>
          <w:hyperlink w:anchor="_Toc33443343" w:history="1">
            <w:r w:rsidR="00320849" w:rsidRPr="001A672B">
              <w:rPr>
                <w:rStyle w:val="Hyperlink"/>
                <w:noProof/>
              </w:rPr>
              <w:t>Box 1.1. The OECD FDI Qualities Indicators</w:t>
            </w:r>
            <w:r w:rsidR="00320849">
              <w:rPr>
                <w:noProof/>
                <w:webHidden/>
              </w:rPr>
              <w:tab/>
            </w:r>
            <w:r w:rsidR="00320849">
              <w:rPr>
                <w:noProof/>
                <w:webHidden/>
              </w:rPr>
              <w:fldChar w:fldCharType="begin"/>
            </w:r>
            <w:r w:rsidR="00320849">
              <w:rPr>
                <w:noProof/>
                <w:webHidden/>
              </w:rPr>
              <w:instrText xml:space="preserve"> PAGEREF _Toc33443343 \h </w:instrText>
            </w:r>
            <w:r w:rsidR="00320849">
              <w:rPr>
                <w:noProof/>
                <w:webHidden/>
              </w:rPr>
            </w:r>
            <w:r w:rsidR="00320849">
              <w:rPr>
                <w:noProof/>
                <w:webHidden/>
              </w:rPr>
              <w:fldChar w:fldCharType="separate"/>
            </w:r>
            <w:r w:rsidR="00320849">
              <w:rPr>
                <w:noProof/>
                <w:webHidden/>
              </w:rPr>
              <w:t>16</w:t>
            </w:r>
            <w:r w:rsidR="00320849">
              <w:rPr>
                <w:noProof/>
                <w:webHidden/>
              </w:rPr>
              <w:fldChar w:fldCharType="end"/>
            </w:r>
          </w:hyperlink>
        </w:p>
        <w:p w14:paraId="5EF52C2F" w14:textId="761418AD" w:rsidR="00320849" w:rsidRDefault="000A7ECF">
          <w:pPr>
            <w:pStyle w:val="TableofFigures"/>
            <w:rPr>
              <w:rFonts w:asciiTheme="minorHAnsi" w:eastAsiaTheme="minorEastAsia" w:hAnsiTheme="minorHAnsi"/>
              <w:noProof/>
              <w:lang w:eastAsia="en-GB"/>
            </w:rPr>
          </w:pPr>
          <w:hyperlink w:anchor="_Toc33443344" w:history="1">
            <w:r w:rsidR="00320849" w:rsidRPr="001A672B">
              <w:rPr>
                <w:rStyle w:val="Hyperlink"/>
                <w:noProof/>
              </w:rPr>
              <w:t xml:space="preserve">Box 2.1. The OECD </w:t>
            </w:r>
            <w:r w:rsidR="00320849" w:rsidRPr="001A672B">
              <w:rPr>
                <w:rStyle w:val="Hyperlink"/>
                <w:i/>
                <w:noProof/>
              </w:rPr>
              <w:t>FDI Regulatory Restrictiveness Index</w:t>
            </w:r>
            <w:r w:rsidR="00320849">
              <w:rPr>
                <w:noProof/>
                <w:webHidden/>
              </w:rPr>
              <w:tab/>
            </w:r>
            <w:r w:rsidR="00320849">
              <w:rPr>
                <w:noProof/>
                <w:webHidden/>
              </w:rPr>
              <w:fldChar w:fldCharType="begin"/>
            </w:r>
            <w:r w:rsidR="00320849">
              <w:rPr>
                <w:noProof/>
                <w:webHidden/>
              </w:rPr>
              <w:instrText xml:space="preserve"> PAGEREF _Toc33443344 \h </w:instrText>
            </w:r>
            <w:r w:rsidR="00320849">
              <w:rPr>
                <w:noProof/>
                <w:webHidden/>
              </w:rPr>
            </w:r>
            <w:r w:rsidR="00320849">
              <w:rPr>
                <w:noProof/>
                <w:webHidden/>
              </w:rPr>
              <w:fldChar w:fldCharType="separate"/>
            </w:r>
            <w:r w:rsidR="00320849">
              <w:rPr>
                <w:noProof/>
                <w:webHidden/>
              </w:rPr>
              <w:t>21</w:t>
            </w:r>
            <w:r w:rsidR="00320849">
              <w:rPr>
                <w:noProof/>
                <w:webHidden/>
              </w:rPr>
              <w:fldChar w:fldCharType="end"/>
            </w:r>
          </w:hyperlink>
        </w:p>
        <w:p w14:paraId="7EACE1A9" w14:textId="24B9C6D5" w:rsidR="00320849" w:rsidRDefault="000A7ECF">
          <w:pPr>
            <w:pStyle w:val="TableofFigures"/>
            <w:rPr>
              <w:rFonts w:asciiTheme="minorHAnsi" w:eastAsiaTheme="minorEastAsia" w:hAnsiTheme="minorHAnsi"/>
              <w:noProof/>
              <w:lang w:eastAsia="en-GB"/>
            </w:rPr>
          </w:pPr>
          <w:hyperlink w:anchor="_Toc33443345" w:history="1">
            <w:r w:rsidR="00320849" w:rsidRPr="001A672B">
              <w:rPr>
                <w:rStyle w:val="Hyperlink"/>
                <w:noProof/>
              </w:rPr>
              <w:t>Box 3.1. The OECD-IDB survey of investment promotion agencies</w:t>
            </w:r>
            <w:r w:rsidR="00320849">
              <w:rPr>
                <w:noProof/>
                <w:webHidden/>
              </w:rPr>
              <w:tab/>
            </w:r>
            <w:r w:rsidR="00320849">
              <w:rPr>
                <w:noProof/>
                <w:webHidden/>
              </w:rPr>
              <w:fldChar w:fldCharType="begin"/>
            </w:r>
            <w:r w:rsidR="00320849">
              <w:rPr>
                <w:noProof/>
                <w:webHidden/>
              </w:rPr>
              <w:instrText xml:space="preserve"> PAGEREF _Toc33443345 \h </w:instrText>
            </w:r>
            <w:r w:rsidR="00320849">
              <w:rPr>
                <w:noProof/>
                <w:webHidden/>
              </w:rPr>
            </w:r>
            <w:r w:rsidR="00320849">
              <w:rPr>
                <w:noProof/>
                <w:webHidden/>
              </w:rPr>
              <w:fldChar w:fldCharType="separate"/>
            </w:r>
            <w:r w:rsidR="00320849">
              <w:rPr>
                <w:noProof/>
                <w:webHidden/>
              </w:rPr>
              <w:t>27</w:t>
            </w:r>
            <w:r w:rsidR="00320849">
              <w:rPr>
                <w:noProof/>
                <w:webHidden/>
              </w:rPr>
              <w:fldChar w:fldCharType="end"/>
            </w:r>
          </w:hyperlink>
        </w:p>
        <w:p w14:paraId="495A0163" w14:textId="08AEBBC2" w:rsidR="00320849" w:rsidRDefault="000A7ECF">
          <w:pPr>
            <w:pStyle w:val="TableofFigures"/>
            <w:rPr>
              <w:rFonts w:asciiTheme="minorHAnsi" w:eastAsiaTheme="minorEastAsia" w:hAnsiTheme="minorHAnsi"/>
              <w:noProof/>
              <w:lang w:eastAsia="en-GB"/>
            </w:rPr>
          </w:pPr>
          <w:hyperlink w:anchor="_Toc33443346" w:history="1">
            <w:r w:rsidR="00320849" w:rsidRPr="001A672B">
              <w:rPr>
                <w:rStyle w:val="Hyperlink"/>
                <w:noProof/>
              </w:rPr>
              <w:t>Box 4.1. The economic costs of tax incentives</w:t>
            </w:r>
            <w:r w:rsidR="00320849">
              <w:rPr>
                <w:noProof/>
                <w:webHidden/>
              </w:rPr>
              <w:tab/>
            </w:r>
            <w:r w:rsidR="00320849">
              <w:rPr>
                <w:noProof/>
                <w:webHidden/>
              </w:rPr>
              <w:fldChar w:fldCharType="begin"/>
            </w:r>
            <w:r w:rsidR="00320849">
              <w:rPr>
                <w:noProof/>
                <w:webHidden/>
              </w:rPr>
              <w:instrText xml:space="preserve"> PAGEREF _Toc33443346 \h </w:instrText>
            </w:r>
            <w:r w:rsidR="00320849">
              <w:rPr>
                <w:noProof/>
                <w:webHidden/>
              </w:rPr>
            </w:r>
            <w:r w:rsidR="00320849">
              <w:rPr>
                <w:noProof/>
                <w:webHidden/>
              </w:rPr>
              <w:fldChar w:fldCharType="separate"/>
            </w:r>
            <w:r w:rsidR="00320849">
              <w:rPr>
                <w:noProof/>
                <w:webHidden/>
              </w:rPr>
              <w:t>44</w:t>
            </w:r>
            <w:r w:rsidR="00320849">
              <w:rPr>
                <w:noProof/>
                <w:webHidden/>
              </w:rPr>
              <w:fldChar w:fldCharType="end"/>
            </w:r>
          </w:hyperlink>
        </w:p>
        <w:p w14:paraId="1CF40982" w14:textId="5B4F9645" w:rsidR="00320849" w:rsidRDefault="000A7ECF">
          <w:pPr>
            <w:pStyle w:val="TableofFigures"/>
            <w:rPr>
              <w:rFonts w:asciiTheme="minorHAnsi" w:eastAsiaTheme="minorEastAsia" w:hAnsiTheme="minorHAnsi"/>
              <w:noProof/>
              <w:lang w:eastAsia="en-GB"/>
            </w:rPr>
          </w:pPr>
          <w:hyperlink w:anchor="_Toc33443347" w:history="1">
            <w:r w:rsidR="00320849" w:rsidRPr="001A672B">
              <w:rPr>
                <w:rStyle w:val="Hyperlink"/>
                <w:noProof/>
              </w:rPr>
              <w:t>Box 4.2. A brief history of corporate taxes in EaP countries</w:t>
            </w:r>
            <w:r w:rsidR="00320849">
              <w:rPr>
                <w:noProof/>
                <w:webHidden/>
              </w:rPr>
              <w:tab/>
            </w:r>
            <w:r w:rsidR="00320849">
              <w:rPr>
                <w:noProof/>
                <w:webHidden/>
              </w:rPr>
              <w:fldChar w:fldCharType="begin"/>
            </w:r>
            <w:r w:rsidR="00320849">
              <w:rPr>
                <w:noProof/>
                <w:webHidden/>
              </w:rPr>
              <w:instrText xml:space="preserve"> PAGEREF _Toc33443347 \h </w:instrText>
            </w:r>
            <w:r w:rsidR="00320849">
              <w:rPr>
                <w:noProof/>
                <w:webHidden/>
              </w:rPr>
            </w:r>
            <w:r w:rsidR="00320849">
              <w:rPr>
                <w:noProof/>
                <w:webHidden/>
              </w:rPr>
              <w:fldChar w:fldCharType="separate"/>
            </w:r>
            <w:r w:rsidR="00320849">
              <w:rPr>
                <w:noProof/>
                <w:webHidden/>
              </w:rPr>
              <w:t>46</w:t>
            </w:r>
            <w:r w:rsidR="00320849">
              <w:rPr>
                <w:noProof/>
                <w:webHidden/>
              </w:rPr>
              <w:fldChar w:fldCharType="end"/>
            </w:r>
          </w:hyperlink>
        </w:p>
        <w:p w14:paraId="591D9232" w14:textId="44097FCC" w:rsidR="00320849" w:rsidRDefault="000A7ECF">
          <w:pPr>
            <w:pStyle w:val="TableofFigures"/>
            <w:rPr>
              <w:rFonts w:asciiTheme="minorHAnsi" w:eastAsiaTheme="minorEastAsia" w:hAnsiTheme="minorHAnsi"/>
              <w:noProof/>
              <w:lang w:eastAsia="en-GB"/>
            </w:rPr>
          </w:pPr>
          <w:hyperlink w:anchor="_Toc33443348" w:history="1">
            <w:r w:rsidR="00320849" w:rsidRPr="001A672B">
              <w:rPr>
                <w:rStyle w:val="Hyperlink"/>
                <w:noProof/>
              </w:rPr>
              <w:t>Box 4.3. Overview of SEZ regimes in EaP countries</w:t>
            </w:r>
            <w:r w:rsidR="00320849">
              <w:rPr>
                <w:noProof/>
                <w:webHidden/>
              </w:rPr>
              <w:tab/>
            </w:r>
            <w:r w:rsidR="00320849">
              <w:rPr>
                <w:noProof/>
                <w:webHidden/>
              </w:rPr>
              <w:fldChar w:fldCharType="begin"/>
            </w:r>
            <w:r w:rsidR="00320849">
              <w:rPr>
                <w:noProof/>
                <w:webHidden/>
              </w:rPr>
              <w:instrText xml:space="preserve"> PAGEREF _Toc33443348 \h </w:instrText>
            </w:r>
            <w:r w:rsidR="00320849">
              <w:rPr>
                <w:noProof/>
                <w:webHidden/>
              </w:rPr>
            </w:r>
            <w:r w:rsidR="00320849">
              <w:rPr>
                <w:noProof/>
                <w:webHidden/>
              </w:rPr>
              <w:fldChar w:fldCharType="separate"/>
            </w:r>
            <w:r w:rsidR="00320849">
              <w:rPr>
                <w:noProof/>
                <w:webHidden/>
              </w:rPr>
              <w:t>53</w:t>
            </w:r>
            <w:r w:rsidR="00320849">
              <w:rPr>
                <w:noProof/>
                <w:webHidden/>
              </w:rPr>
              <w:fldChar w:fldCharType="end"/>
            </w:r>
          </w:hyperlink>
        </w:p>
        <w:p w14:paraId="5E7E7D6D" w14:textId="7CCD09E1" w:rsidR="00320849" w:rsidRDefault="000A7ECF">
          <w:pPr>
            <w:pStyle w:val="TableofFigures"/>
            <w:rPr>
              <w:rFonts w:asciiTheme="minorHAnsi" w:eastAsiaTheme="minorEastAsia" w:hAnsiTheme="minorHAnsi"/>
              <w:noProof/>
              <w:lang w:eastAsia="en-GB"/>
            </w:rPr>
          </w:pPr>
          <w:hyperlink w:anchor="_Toc33443349" w:history="1">
            <w:r w:rsidR="00320849" w:rsidRPr="001A672B">
              <w:rPr>
                <w:rStyle w:val="Hyperlink"/>
                <w:noProof/>
              </w:rPr>
              <w:t>Box 5.1. RBC, CSR, and BHR: towards international convergence and coherence</w:t>
            </w:r>
            <w:r w:rsidR="00320849">
              <w:rPr>
                <w:noProof/>
                <w:webHidden/>
              </w:rPr>
              <w:tab/>
            </w:r>
            <w:r w:rsidR="00320849">
              <w:rPr>
                <w:noProof/>
                <w:webHidden/>
              </w:rPr>
              <w:fldChar w:fldCharType="begin"/>
            </w:r>
            <w:r w:rsidR="00320849">
              <w:rPr>
                <w:noProof/>
                <w:webHidden/>
              </w:rPr>
              <w:instrText xml:space="preserve"> PAGEREF _Toc33443349 \h </w:instrText>
            </w:r>
            <w:r w:rsidR="00320849">
              <w:rPr>
                <w:noProof/>
                <w:webHidden/>
              </w:rPr>
            </w:r>
            <w:r w:rsidR="00320849">
              <w:rPr>
                <w:noProof/>
                <w:webHidden/>
              </w:rPr>
              <w:fldChar w:fldCharType="separate"/>
            </w:r>
            <w:r w:rsidR="00320849">
              <w:rPr>
                <w:noProof/>
                <w:webHidden/>
              </w:rPr>
              <w:t>57</w:t>
            </w:r>
            <w:r w:rsidR="00320849">
              <w:rPr>
                <w:noProof/>
                <w:webHidden/>
              </w:rPr>
              <w:fldChar w:fldCharType="end"/>
            </w:r>
          </w:hyperlink>
        </w:p>
        <w:p w14:paraId="359EA2B4" w14:textId="50380FB9" w:rsidR="00320849" w:rsidRDefault="000A7ECF">
          <w:pPr>
            <w:pStyle w:val="TableofFigures"/>
            <w:rPr>
              <w:rFonts w:asciiTheme="minorHAnsi" w:eastAsiaTheme="minorEastAsia" w:hAnsiTheme="minorHAnsi"/>
              <w:noProof/>
              <w:lang w:eastAsia="en-GB"/>
            </w:rPr>
          </w:pPr>
          <w:hyperlink w:anchor="_Toc33443350" w:history="1">
            <w:r w:rsidR="00320849" w:rsidRPr="001A672B">
              <w:rPr>
                <w:rStyle w:val="Hyperlink"/>
                <w:noProof/>
              </w:rPr>
              <w:t>Box 5.2. Understanding the OECD Guidelines for Multinational Enterprises</w:t>
            </w:r>
            <w:r w:rsidR="00320849">
              <w:rPr>
                <w:noProof/>
                <w:webHidden/>
              </w:rPr>
              <w:tab/>
            </w:r>
            <w:r w:rsidR="00320849">
              <w:rPr>
                <w:noProof/>
                <w:webHidden/>
              </w:rPr>
              <w:fldChar w:fldCharType="begin"/>
            </w:r>
            <w:r w:rsidR="00320849">
              <w:rPr>
                <w:noProof/>
                <w:webHidden/>
              </w:rPr>
              <w:instrText xml:space="preserve"> PAGEREF _Toc33443350 \h </w:instrText>
            </w:r>
            <w:r w:rsidR="00320849">
              <w:rPr>
                <w:noProof/>
                <w:webHidden/>
              </w:rPr>
            </w:r>
            <w:r w:rsidR="00320849">
              <w:rPr>
                <w:noProof/>
                <w:webHidden/>
              </w:rPr>
              <w:fldChar w:fldCharType="separate"/>
            </w:r>
            <w:r w:rsidR="00320849">
              <w:rPr>
                <w:noProof/>
                <w:webHidden/>
              </w:rPr>
              <w:t>58</w:t>
            </w:r>
            <w:r w:rsidR="00320849">
              <w:rPr>
                <w:noProof/>
                <w:webHidden/>
              </w:rPr>
              <w:fldChar w:fldCharType="end"/>
            </w:r>
          </w:hyperlink>
        </w:p>
        <w:p w14:paraId="21D4A0A5" w14:textId="1C93C9B5" w:rsidR="00320849" w:rsidRDefault="000A7ECF">
          <w:pPr>
            <w:pStyle w:val="TableofFigures"/>
            <w:rPr>
              <w:rFonts w:asciiTheme="minorHAnsi" w:eastAsiaTheme="minorEastAsia" w:hAnsiTheme="minorHAnsi"/>
              <w:noProof/>
              <w:lang w:eastAsia="en-GB"/>
            </w:rPr>
          </w:pPr>
          <w:hyperlink w:anchor="_Toc33443351" w:history="1">
            <w:r w:rsidR="00320849" w:rsidRPr="001A672B">
              <w:rPr>
                <w:rStyle w:val="Hyperlink"/>
                <w:noProof/>
              </w:rPr>
              <w:t>Box 5.3. Role of governments in promoting and enabling responsible business</w:t>
            </w:r>
            <w:r w:rsidR="00320849">
              <w:rPr>
                <w:noProof/>
                <w:webHidden/>
              </w:rPr>
              <w:tab/>
            </w:r>
            <w:r w:rsidR="00320849">
              <w:rPr>
                <w:noProof/>
                <w:webHidden/>
              </w:rPr>
              <w:fldChar w:fldCharType="begin"/>
            </w:r>
            <w:r w:rsidR="00320849">
              <w:rPr>
                <w:noProof/>
                <w:webHidden/>
              </w:rPr>
              <w:instrText xml:space="preserve"> PAGEREF _Toc33443351 \h </w:instrText>
            </w:r>
            <w:r w:rsidR="00320849">
              <w:rPr>
                <w:noProof/>
                <w:webHidden/>
              </w:rPr>
            </w:r>
            <w:r w:rsidR="00320849">
              <w:rPr>
                <w:noProof/>
                <w:webHidden/>
              </w:rPr>
              <w:fldChar w:fldCharType="separate"/>
            </w:r>
            <w:r w:rsidR="00320849">
              <w:rPr>
                <w:noProof/>
                <w:webHidden/>
              </w:rPr>
              <w:t>59</w:t>
            </w:r>
            <w:r w:rsidR="00320849">
              <w:rPr>
                <w:noProof/>
                <w:webHidden/>
              </w:rPr>
              <w:fldChar w:fldCharType="end"/>
            </w:r>
          </w:hyperlink>
        </w:p>
        <w:p w14:paraId="752397D4" w14:textId="5D88B536" w:rsidR="00320849" w:rsidRDefault="000A7ECF">
          <w:pPr>
            <w:pStyle w:val="TableofFigures"/>
            <w:rPr>
              <w:rFonts w:asciiTheme="minorHAnsi" w:eastAsiaTheme="minorEastAsia" w:hAnsiTheme="minorHAnsi"/>
              <w:noProof/>
              <w:lang w:eastAsia="en-GB"/>
            </w:rPr>
          </w:pPr>
          <w:hyperlink w:anchor="_Toc33443352" w:history="1">
            <w:r w:rsidR="00320849" w:rsidRPr="001A672B">
              <w:rPr>
                <w:rStyle w:val="Hyperlink"/>
                <w:noProof/>
              </w:rPr>
              <w:t>Box 5.4. Progress toward NAPs: Georgia and Ukraine</w:t>
            </w:r>
            <w:r w:rsidR="00320849">
              <w:rPr>
                <w:noProof/>
                <w:webHidden/>
              </w:rPr>
              <w:tab/>
            </w:r>
            <w:r w:rsidR="00320849">
              <w:rPr>
                <w:noProof/>
                <w:webHidden/>
              </w:rPr>
              <w:fldChar w:fldCharType="begin"/>
            </w:r>
            <w:r w:rsidR="00320849">
              <w:rPr>
                <w:noProof/>
                <w:webHidden/>
              </w:rPr>
              <w:instrText xml:space="preserve"> PAGEREF _Toc33443352 \h </w:instrText>
            </w:r>
            <w:r w:rsidR="00320849">
              <w:rPr>
                <w:noProof/>
                <w:webHidden/>
              </w:rPr>
            </w:r>
            <w:r w:rsidR="00320849">
              <w:rPr>
                <w:noProof/>
                <w:webHidden/>
              </w:rPr>
              <w:fldChar w:fldCharType="separate"/>
            </w:r>
            <w:r w:rsidR="00320849">
              <w:rPr>
                <w:noProof/>
                <w:webHidden/>
              </w:rPr>
              <w:t>61</w:t>
            </w:r>
            <w:r w:rsidR="00320849">
              <w:rPr>
                <w:noProof/>
                <w:webHidden/>
              </w:rPr>
              <w:fldChar w:fldCharType="end"/>
            </w:r>
          </w:hyperlink>
        </w:p>
        <w:p w14:paraId="7184A190" w14:textId="4A9F92E3" w:rsidR="00320849" w:rsidRDefault="000A7ECF">
          <w:pPr>
            <w:pStyle w:val="TableofFigures"/>
            <w:rPr>
              <w:rFonts w:asciiTheme="minorHAnsi" w:eastAsiaTheme="minorEastAsia" w:hAnsiTheme="minorHAnsi"/>
              <w:noProof/>
              <w:lang w:eastAsia="en-GB"/>
            </w:rPr>
          </w:pPr>
          <w:hyperlink w:anchor="_Toc33443353" w:history="1">
            <w:r w:rsidR="00320849" w:rsidRPr="001A672B">
              <w:rPr>
                <w:rStyle w:val="Hyperlink"/>
                <w:noProof/>
              </w:rPr>
              <w:t>Box 5.5. Selected cases assessed by international grievance mechanisms on human rights</w:t>
            </w:r>
            <w:r w:rsidR="00320849">
              <w:rPr>
                <w:noProof/>
                <w:webHidden/>
              </w:rPr>
              <w:tab/>
            </w:r>
            <w:r w:rsidR="00320849">
              <w:rPr>
                <w:noProof/>
                <w:webHidden/>
              </w:rPr>
              <w:fldChar w:fldCharType="begin"/>
            </w:r>
            <w:r w:rsidR="00320849">
              <w:rPr>
                <w:noProof/>
                <w:webHidden/>
              </w:rPr>
              <w:instrText xml:space="preserve"> PAGEREF _Toc33443353 \h </w:instrText>
            </w:r>
            <w:r w:rsidR="00320849">
              <w:rPr>
                <w:noProof/>
                <w:webHidden/>
              </w:rPr>
            </w:r>
            <w:r w:rsidR="00320849">
              <w:rPr>
                <w:noProof/>
                <w:webHidden/>
              </w:rPr>
              <w:fldChar w:fldCharType="separate"/>
            </w:r>
            <w:r w:rsidR="00320849">
              <w:rPr>
                <w:noProof/>
                <w:webHidden/>
              </w:rPr>
              <w:t>66</w:t>
            </w:r>
            <w:r w:rsidR="00320849">
              <w:rPr>
                <w:noProof/>
                <w:webHidden/>
              </w:rPr>
              <w:fldChar w:fldCharType="end"/>
            </w:r>
          </w:hyperlink>
        </w:p>
        <w:p w14:paraId="083713C4" w14:textId="2C72EEB0" w:rsidR="00320849" w:rsidRDefault="000A7ECF">
          <w:pPr>
            <w:pStyle w:val="TableofFigures"/>
            <w:rPr>
              <w:rFonts w:asciiTheme="minorHAnsi" w:eastAsiaTheme="minorEastAsia" w:hAnsiTheme="minorHAnsi"/>
              <w:noProof/>
              <w:lang w:eastAsia="en-GB"/>
            </w:rPr>
          </w:pPr>
          <w:hyperlink w:anchor="_Toc33443354" w:history="1">
            <w:r w:rsidR="00320849" w:rsidRPr="001A672B">
              <w:rPr>
                <w:rStyle w:val="Hyperlink"/>
                <w:noProof/>
              </w:rPr>
              <w:t>Box 5.6. Progress in occupational health and safety in Georgia</w:t>
            </w:r>
            <w:r w:rsidR="00320849">
              <w:rPr>
                <w:noProof/>
                <w:webHidden/>
              </w:rPr>
              <w:tab/>
            </w:r>
            <w:r w:rsidR="00320849">
              <w:rPr>
                <w:noProof/>
                <w:webHidden/>
              </w:rPr>
              <w:fldChar w:fldCharType="begin"/>
            </w:r>
            <w:r w:rsidR="00320849">
              <w:rPr>
                <w:noProof/>
                <w:webHidden/>
              </w:rPr>
              <w:instrText xml:space="preserve"> PAGEREF _Toc33443354 \h </w:instrText>
            </w:r>
            <w:r w:rsidR="00320849">
              <w:rPr>
                <w:noProof/>
                <w:webHidden/>
              </w:rPr>
            </w:r>
            <w:r w:rsidR="00320849">
              <w:rPr>
                <w:noProof/>
                <w:webHidden/>
              </w:rPr>
              <w:fldChar w:fldCharType="separate"/>
            </w:r>
            <w:r w:rsidR="00320849">
              <w:rPr>
                <w:noProof/>
                <w:webHidden/>
              </w:rPr>
              <w:t>69</w:t>
            </w:r>
            <w:r w:rsidR="00320849">
              <w:rPr>
                <w:noProof/>
                <w:webHidden/>
              </w:rPr>
              <w:fldChar w:fldCharType="end"/>
            </w:r>
          </w:hyperlink>
        </w:p>
        <w:p w14:paraId="43FE02D2" w14:textId="4A4C1602" w:rsidR="00320849" w:rsidRDefault="000A7ECF">
          <w:pPr>
            <w:pStyle w:val="TableofFigures"/>
            <w:rPr>
              <w:rFonts w:asciiTheme="minorHAnsi" w:eastAsiaTheme="minorEastAsia" w:hAnsiTheme="minorHAnsi"/>
              <w:noProof/>
              <w:lang w:eastAsia="en-GB"/>
            </w:rPr>
          </w:pPr>
          <w:hyperlink w:anchor="_Toc33443355" w:history="1">
            <w:r w:rsidR="00320849" w:rsidRPr="001A672B">
              <w:rPr>
                <w:rStyle w:val="Hyperlink"/>
                <w:noProof/>
              </w:rPr>
              <w:t>Box 5.7. Steps taken to combat corruption in EaP countries</w:t>
            </w:r>
            <w:r w:rsidR="00320849">
              <w:rPr>
                <w:noProof/>
                <w:webHidden/>
              </w:rPr>
              <w:tab/>
            </w:r>
            <w:r w:rsidR="00320849">
              <w:rPr>
                <w:noProof/>
                <w:webHidden/>
              </w:rPr>
              <w:fldChar w:fldCharType="begin"/>
            </w:r>
            <w:r w:rsidR="00320849">
              <w:rPr>
                <w:noProof/>
                <w:webHidden/>
              </w:rPr>
              <w:instrText xml:space="preserve"> PAGEREF _Toc33443355 \h </w:instrText>
            </w:r>
            <w:r w:rsidR="00320849">
              <w:rPr>
                <w:noProof/>
                <w:webHidden/>
              </w:rPr>
            </w:r>
            <w:r w:rsidR="00320849">
              <w:rPr>
                <w:noProof/>
                <w:webHidden/>
              </w:rPr>
              <w:fldChar w:fldCharType="separate"/>
            </w:r>
            <w:r w:rsidR="00320849">
              <w:rPr>
                <w:noProof/>
                <w:webHidden/>
              </w:rPr>
              <w:t>72</w:t>
            </w:r>
            <w:r w:rsidR="00320849">
              <w:rPr>
                <w:noProof/>
                <w:webHidden/>
              </w:rPr>
              <w:fldChar w:fldCharType="end"/>
            </w:r>
          </w:hyperlink>
        </w:p>
        <w:p w14:paraId="2424DBE8" w14:textId="1FE8E138" w:rsidR="00157F38" w:rsidRPr="0060042C" w:rsidRDefault="000A7ECF" w:rsidP="00157F38">
          <w:pPr>
            <w:pStyle w:val="TableofFigures"/>
          </w:pPr>
          <w:hyperlink w:anchor="_Toc33443356" w:history="1">
            <w:r w:rsidR="00320849" w:rsidRPr="001A672B">
              <w:rPr>
                <w:rStyle w:val="Hyperlink"/>
                <w:noProof/>
              </w:rPr>
              <w:t>Box 5.8. Disclosure and Transparency in extractive industries</w:t>
            </w:r>
            <w:r w:rsidR="00320849">
              <w:rPr>
                <w:noProof/>
                <w:webHidden/>
              </w:rPr>
              <w:tab/>
            </w:r>
            <w:r w:rsidR="00320849">
              <w:rPr>
                <w:noProof/>
                <w:webHidden/>
              </w:rPr>
              <w:fldChar w:fldCharType="begin"/>
            </w:r>
            <w:r w:rsidR="00320849">
              <w:rPr>
                <w:noProof/>
                <w:webHidden/>
              </w:rPr>
              <w:instrText xml:space="preserve"> PAGEREF _Toc33443356 \h </w:instrText>
            </w:r>
            <w:r w:rsidR="00320849">
              <w:rPr>
                <w:noProof/>
                <w:webHidden/>
              </w:rPr>
            </w:r>
            <w:r w:rsidR="00320849">
              <w:rPr>
                <w:noProof/>
                <w:webHidden/>
              </w:rPr>
              <w:fldChar w:fldCharType="separate"/>
            </w:r>
            <w:r w:rsidR="00320849">
              <w:rPr>
                <w:noProof/>
                <w:webHidden/>
              </w:rPr>
              <w:t>73</w:t>
            </w:r>
            <w:r w:rsidR="00320849">
              <w:rPr>
                <w:noProof/>
                <w:webHidden/>
              </w:rPr>
              <w:fldChar w:fldCharType="end"/>
            </w:r>
          </w:hyperlink>
          <w:r w:rsidR="00157F38">
            <w:rPr>
              <w:b/>
              <w:bCs/>
              <w:noProof/>
              <w:lang w:val="en-US"/>
            </w:rPr>
            <w:fldChar w:fldCharType="end"/>
          </w:r>
        </w:p>
      </w:sdtContent>
    </w:sdt>
    <w:p w14:paraId="5DFB620C" w14:textId="218E16C8" w:rsidR="002C63C2" w:rsidRDefault="002C63C2" w:rsidP="004A6383">
      <w:pPr>
        <w:pStyle w:val="Title"/>
      </w:pPr>
      <w:bookmarkStart w:id="7" w:name="_Toc31983273"/>
      <w:bookmarkStart w:id="8" w:name="_Toc33443284"/>
      <w:r>
        <w:lastRenderedPageBreak/>
        <w:t>Acronyms and Abbreviation</w:t>
      </w:r>
      <w:bookmarkEnd w:id="7"/>
      <w:bookmarkEnd w:id="8"/>
    </w:p>
    <w:tbl>
      <w:tblPr>
        <w:tblW w:w="7593" w:type="dxa"/>
        <w:jc w:val="center"/>
        <w:tblLook w:val="04A0" w:firstRow="1" w:lastRow="0" w:firstColumn="1" w:lastColumn="0" w:noHBand="0" w:noVBand="1"/>
      </w:tblPr>
      <w:tblGrid>
        <w:gridCol w:w="1869"/>
        <w:gridCol w:w="5724"/>
      </w:tblGrid>
      <w:tr w:rsidR="004538EF" w:rsidRPr="00E23A09" w14:paraId="665406AA" w14:textId="77777777" w:rsidTr="00634609">
        <w:trPr>
          <w:trHeight w:val="255"/>
          <w:jc w:val="center"/>
        </w:trPr>
        <w:tc>
          <w:tcPr>
            <w:tcW w:w="1869" w:type="dxa"/>
            <w:tcBorders>
              <w:top w:val="nil"/>
              <w:left w:val="nil"/>
              <w:bottom w:val="nil"/>
              <w:right w:val="nil"/>
            </w:tcBorders>
            <w:shd w:val="clear" w:color="auto" w:fill="auto"/>
            <w:noWrap/>
            <w:vAlign w:val="bottom"/>
          </w:tcPr>
          <w:p w14:paraId="62C2874A" w14:textId="1D98919E" w:rsidR="004538EF" w:rsidRDefault="00AB1A30" w:rsidP="00E23A09">
            <w:pPr>
              <w:spacing w:after="0"/>
              <w:jc w:val="left"/>
              <w:rPr>
                <w:rFonts w:eastAsia="Times New Roman" w:cs="Times New Roman"/>
                <w:color w:val="000000"/>
                <w:lang w:eastAsia="en-GB"/>
              </w:rPr>
            </w:pPr>
            <w:r>
              <w:rPr>
                <w:rFonts w:eastAsia="Times New Roman" w:cs="Times New Roman"/>
                <w:color w:val="000000"/>
                <w:lang w:eastAsia="en-GB"/>
              </w:rPr>
              <w:t>AZPROMO</w:t>
            </w:r>
          </w:p>
        </w:tc>
        <w:tc>
          <w:tcPr>
            <w:tcW w:w="5724" w:type="dxa"/>
            <w:tcBorders>
              <w:top w:val="nil"/>
              <w:left w:val="nil"/>
              <w:bottom w:val="nil"/>
              <w:right w:val="nil"/>
            </w:tcBorders>
            <w:shd w:val="clear" w:color="auto" w:fill="auto"/>
            <w:noWrap/>
            <w:vAlign w:val="bottom"/>
          </w:tcPr>
          <w:p w14:paraId="5BCD1964" w14:textId="33806A90" w:rsidR="004538EF" w:rsidRDefault="004538EF" w:rsidP="00C5704D">
            <w:pPr>
              <w:spacing w:after="0"/>
              <w:jc w:val="left"/>
              <w:rPr>
                <w:rFonts w:eastAsia="Times New Roman" w:cs="Times New Roman"/>
                <w:color w:val="000000"/>
                <w:lang w:eastAsia="en-GB"/>
              </w:rPr>
            </w:pPr>
            <w:r>
              <w:t>Azerbaijan Export and Investment Promotion Foundation</w:t>
            </w:r>
          </w:p>
        </w:tc>
      </w:tr>
      <w:tr w:rsidR="00B0449E" w:rsidRPr="00E23A09" w14:paraId="0DCE1CCE" w14:textId="77777777" w:rsidTr="00634609">
        <w:trPr>
          <w:trHeight w:val="255"/>
          <w:jc w:val="center"/>
        </w:trPr>
        <w:tc>
          <w:tcPr>
            <w:tcW w:w="1869" w:type="dxa"/>
            <w:tcBorders>
              <w:top w:val="nil"/>
              <w:left w:val="nil"/>
              <w:bottom w:val="nil"/>
              <w:right w:val="nil"/>
            </w:tcBorders>
            <w:shd w:val="clear" w:color="auto" w:fill="auto"/>
            <w:noWrap/>
            <w:vAlign w:val="bottom"/>
          </w:tcPr>
          <w:p w14:paraId="6817D5B0" w14:textId="3F3E132E"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BHR</w:t>
            </w:r>
          </w:p>
        </w:tc>
        <w:tc>
          <w:tcPr>
            <w:tcW w:w="5724" w:type="dxa"/>
            <w:tcBorders>
              <w:top w:val="nil"/>
              <w:left w:val="nil"/>
              <w:bottom w:val="nil"/>
              <w:right w:val="nil"/>
            </w:tcBorders>
            <w:shd w:val="clear" w:color="auto" w:fill="auto"/>
            <w:noWrap/>
            <w:vAlign w:val="bottom"/>
          </w:tcPr>
          <w:p w14:paraId="756DBBE4" w14:textId="42C7C5C1" w:rsidR="00B0449E" w:rsidRDefault="00B0449E" w:rsidP="00C5704D">
            <w:pPr>
              <w:spacing w:after="0"/>
              <w:jc w:val="left"/>
              <w:rPr>
                <w:rFonts w:eastAsia="Times New Roman" w:cs="Times New Roman"/>
                <w:color w:val="000000"/>
                <w:lang w:eastAsia="en-GB"/>
              </w:rPr>
            </w:pPr>
            <w:r>
              <w:rPr>
                <w:rFonts w:eastAsia="Times New Roman" w:cs="Times New Roman"/>
                <w:color w:val="000000"/>
                <w:lang w:eastAsia="en-GB"/>
              </w:rPr>
              <w:t>Business and Human Rights</w:t>
            </w:r>
          </w:p>
        </w:tc>
      </w:tr>
      <w:tr w:rsidR="00644470" w:rsidRPr="00E23A09" w14:paraId="62D671F1" w14:textId="77777777" w:rsidTr="00634609">
        <w:trPr>
          <w:trHeight w:val="255"/>
          <w:jc w:val="center"/>
        </w:trPr>
        <w:tc>
          <w:tcPr>
            <w:tcW w:w="1869" w:type="dxa"/>
            <w:tcBorders>
              <w:top w:val="nil"/>
              <w:left w:val="nil"/>
              <w:bottom w:val="nil"/>
              <w:right w:val="nil"/>
            </w:tcBorders>
            <w:shd w:val="clear" w:color="auto" w:fill="auto"/>
            <w:noWrap/>
            <w:vAlign w:val="bottom"/>
          </w:tcPr>
          <w:p w14:paraId="764A9D99" w14:textId="428D8B32" w:rsidR="00644470" w:rsidRDefault="00644470" w:rsidP="00E23A09">
            <w:pPr>
              <w:spacing w:after="0"/>
              <w:jc w:val="left"/>
              <w:rPr>
                <w:rFonts w:eastAsia="Times New Roman" w:cs="Times New Roman"/>
                <w:color w:val="000000"/>
                <w:lang w:eastAsia="en-GB"/>
              </w:rPr>
            </w:pPr>
            <w:r>
              <w:rPr>
                <w:rFonts w:eastAsia="Times New Roman" w:cs="Times New Roman"/>
                <w:color w:val="000000"/>
                <w:lang w:eastAsia="en-GB"/>
              </w:rPr>
              <w:t>BHRRC</w:t>
            </w:r>
          </w:p>
        </w:tc>
        <w:tc>
          <w:tcPr>
            <w:tcW w:w="5724" w:type="dxa"/>
            <w:tcBorders>
              <w:top w:val="nil"/>
              <w:left w:val="nil"/>
              <w:bottom w:val="nil"/>
              <w:right w:val="nil"/>
            </w:tcBorders>
            <w:shd w:val="clear" w:color="auto" w:fill="auto"/>
            <w:noWrap/>
            <w:vAlign w:val="bottom"/>
          </w:tcPr>
          <w:p w14:paraId="278CE268" w14:textId="79771575" w:rsidR="00644470" w:rsidRDefault="00644470" w:rsidP="00C5704D">
            <w:pPr>
              <w:spacing w:after="0"/>
              <w:jc w:val="left"/>
              <w:rPr>
                <w:rFonts w:eastAsia="Times New Roman" w:cs="Times New Roman"/>
                <w:color w:val="000000"/>
                <w:lang w:eastAsia="en-GB"/>
              </w:rPr>
            </w:pPr>
            <w:r>
              <w:rPr>
                <w:rFonts w:eastAsia="Times New Roman" w:cs="Times New Roman"/>
                <w:color w:val="000000"/>
                <w:lang w:eastAsia="en-GB"/>
              </w:rPr>
              <w:t>Business and Human Rights Resource Centre</w:t>
            </w:r>
          </w:p>
        </w:tc>
      </w:tr>
      <w:tr w:rsidR="00786051" w:rsidRPr="00E23A09" w14:paraId="4FFF9C9C" w14:textId="77777777" w:rsidTr="00634609">
        <w:trPr>
          <w:trHeight w:val="255"/>
          <w:jc w:val="center"/>
        </w:trPr>
        <w:tc>
          <w:tcPr>
            <w:tcW w:w="1869" w:type="dxa"/>
            <w:tcBorders>
              <w:top w:val="nil"/>
              <w:left w:val="nil"/>
              <w:bottom w:val="nil"/>
              <w:right w:val="nil"/>
            </w:tcBorders>
            <w:shd w:val="clear" w:color="auto" w:fill="auto"/>
            <w:noWrap/>
            <w:vAlign w:val="bottom"/>
          </w:tcPr>
          <w:p w14:paraId="411E1620" w14:textId="466AF119" w:rsidR="00786051"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CAO</w:t>
            </w:r>
          </w:p>
        </w:tc>
        <w:tc>
          <w:tcPr>
            <w:tcW w:w="5724" w:type="dxa"/>
            <w:tcBorders>
              <w:top w:val="nil"/>
              <w:left w:val="nil"/>
              <w:bottom w:val="nil"/>
              <w:right w:val="nil"/>
            </w:tcBorders>
            <w:shd w:val="clear" w:color="auto" w:fill="auto"/>
            <w:noWrap/>
            <w:vAlign w:val="bottom"/>
          </w:tcPr>
          <w:p w14:paraId="3A43A437" w14:textId="4938514C" w:rsidR="00786051" w:rsidRDefault="00786051" w:rsidP="00C5704D">
            <w:pPr>
              <w:spacing w:after="0"/>
              <w:jc w:val="left"/>
              <w:rPr>
                <w:rFonts w:eastAsia="Times New Roman" w:cs="Times New Roman"/>
                <w:color w:val="000000"/>
                <w:lang w:eastAsia="en-GB"/>
              </w:rPr>
            </w:pPr>
            <w:r>
              <w:rPr>
                <w:rFonts w:eastAsia="Times New Roman" w:cs="Times New Roman"/>
                <w:color w:val="000000"/>
                <w:lang w:eastAsia="en-GB"/>
              </w:rPr>
              <w:t>Compliance Advisory Ombudsman</w:t>
            </w:r>
          </w:p>
        </w:tc>
      </w:tr>
      <w:tr w:rsidR="00E23A09" w:rsidRPr="00E23A09" w14:paraId="0F0D54DF" w14:textId="77777777" w:rsidTr="00634609">
        <w:trPr>
          <w:trHeight w:val="255"/>
          <w:jc w:val="center"/>
        </w:trPr>
        <w:tc>
          <w:tcPr>
            <w:tcW w:w="1869" w:type="dxa"/>
            <w:tcBorders>
              <w:top w:val="nil"/>
              <w:left w:val="nil"/>
              <w:bottom w:val="nil"/>
              <w:right w:val="nil"/>
            </w:tcBorders>
            <w:shd w:val="clear" w:color="auto" w:fill="auto"/>
            <w:noWrap/>
            <w:vAlign w:val="bottom"/>
          </w:tcPr>
          <w:p w14:paraId="0E9CC1CA" w14:textId="619BC63D" w:rsidR="00E23A09" w:rsidRPr="00E23A09" w:rsidRDefault="00C5704D" w:rsidP="00E23A09">
            <w:pPr>
              <w:spacing w:after="0"/>
              <w:jc w:val="left"/>
              <w:rPr>
                <w:rFonts w:eastAsia="Times New Roman" w:cs="Times New Roman"/>
                <w:color w:val="000000"/>
                <w:lang w:eastAsia="en-GB"/>
              </w:rPr>
            </w:pPr>
            <w:r>
              <w:rPr>
                <w:rFonts w:eastAsia="Times New Roman" w:cs="Times New Roman"/>
                <w:color w:val="000000"/>
                <w:lang w:eastAsia="en-GB"/>
              </w:rPr>
              <w:t>CIT</w:t>
            </w:r>
          </w:p>
        </w:tc>
        <w:tc>
          <w:tcPr>
            <w:tcW w:w="5724" w:type="dxa"/>
            <w:tcBorders>
              <w:top w:val="nil"/>
              <w:left w:val="nil"/>
              <w:bottom w:val="nil"/>
              <w:right w:val="nil"/>
            </w:tcBorders>
            <w:shd w:val="clear" w:color="auto" w:fill="auto"/>
            <w:noWrap/>
            <w:vAlign w:val="bottom"/>
          </w:tcPr>
          <w:p w14:paraId="2EC32273" w14:textId="375A8C35" w:rsidR="00E23A09" w:rsidRPr="00E23A09" w:rsidRDefault="00C5704D" w:rsidP="00C5704D">
            <w:pPr>
              <w:spacing w:after="0"/>
              <w:jc w:val="left"/>
              <w:rPr>
                <w:rFonts w:eastAsia="Times New Roman" w:cs="Times New Roman"/>
                <w:color w:val="000000"/>
                <w:lang w:eastAsia="en-GB"/>
              </w:rPr>
            </w:pPr>
            <w:r>
              <w:rPr>
                <w:rFonts w:eastAsia="Times New Roman" w:cs="Times New Roman"/>
                <w:color w:val="000000"/>
                <w:lang w:eastAsia="en-GB"/>
              </w:rPr>
              <w:t>Corporate Income Tax</w:t>
            </w:r>
          </w:p>
        </w:tc>
      </w:tr>
      <w:tr w:rsidR="00B0449E" w:rsidRPr="00E23A09" w14:paraId="61F78696" w14:textId="77777777" w:rsidTr="00634609">
        <w:trPr>
          <w:trHeight w:val="255"/>
          <w:jc w:val="center"/>
        </w:trPr>
        <w:tc>
          <w:tcPr>
            <w:tcW w:w="1869" w:type="dxa"/>
            <w:tcBorders>
              <w:top w:val="nil"/>
              <w:left w:val="nil"/>
              <w:bottom w:val="nil"/>
              <w:right w:val="nil"/>
            </w:tcBorders>
            <w:shd w:val="clear" w:color="auto" w:fill="auto"/>
            <w:noWrap/>
            <w:vAlign w:val="bottom"/>
          </w:tcPr>
          <w:p w14:paraId="678BA092" w14:textId="04647EEF"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CoE</w:t>
            </w:r>
          </w:p>
        </w:tc>
        <w:tc>
          <w:tcPr>
            <w:tcW w:w="5724" w:type="dxa"/>
            <w:tcBorders>
              <w:top w:val="nil"/>
              <w:left w:val="nil"/>
              <w:bottom w:val="nil"/>
              <w:right w:val="nil"/>
            </w:tcBorders>
            <w:shd w:val="clear" w:color="auto" w:fill="auto"/>
            <w:noWrap/>
            <w:vAlign w:val="bottom"/>
          </w:tcPr>
          <w:p w14:paraId="729BE6F0" w14:textId="152E3F2F"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Council of Europe</w:t>
            </w:r>
          </w:p>
        </w:tc>
      </w:tr>
      <w:tr w:rsidR="00AB1A30" w:rsidRPr="00E23A09" w14:paraId="4A6ED43A" w14:textId="77777777" w:rsidTr="00634609">
        <w:trPr>
          <w:trHeight w:val="255"/>
          <w:jc w:val="center"/>
        </w:trPr>
        <w:tc>
          <w:tcPr>
            <w:tcW w:w="1869" w:type="dxa"/>
            <w:tcBorders>
              <w:top w:val="nil"/>
              <w:left w:val="nil"/>
              <w:bottom w:val="nil"/>
              <w:right w:val="nil"/>
            </w:tcBorders>
            <w:shd w:val="clear" w:color="auto" w:fill="auto"/>
            <w:noWrap/>
            <w:vAlign w:val="bottom"/>
          </w:tcPr>
          <w:p w14:paraId="2D1CC194" w14:textId="1D78B080" w:rsidR="00AB1A30" w:rsidRPr="00E23A09" w:rsidRDefault="00AB1A30" w:rsidP="00E23A09">
            <w:pPr>
              <w:spacing w:after="0"/>
              <w:jc w:val="left"/>
              <w:rPr>
                <w:rFonts w:eastAsia="Times New Roman" w:cs="Times New Roman"/>
                <w:color w:val="000000"/>
                <w:lang w:eastAsia="en-GB"/>
              </w:rPr>
            </w:pPr>
            <w:r>
              <w:rPr>
                <w:rFonts w:eastAsia="Times New Roman" w:cs="Times New Roman"/>
                <w:color w:val="000000"/>
                <w:lang w:eastAsia="en-GB"/>
              </w:rPr>
              <w:t>CRM</w:t>
            </w:r>
          </w:p>
        </w:tc>
        <w:tc>
          <w:tcPr>
            <w:tcW w:w="5724" w:type="dxa"/>
            <w:tcBorders>
              <w:top w:val="nil"/>
              <w:left w:val="nil"/>
              <w:bottom w:val="nil"/>
              <w:right w:val="nil"/>
            </w:tcBorders>
            <w:shd w:val="clear" w:color="auto" w:fill="auto"/>
            <w:noWrap/>
            <w:vAlign w:val="bottom"/>
          </w:tcPr>
          <w:p w14:paraId="433B0655" w14:textId="68585E04" w:rsidR="00AB1A30" w:rsidRPr="00E23A09" w:rsidRDefault="00AB1A30" w:rsidP="00E23A09">
            <w:pPr>
              <w:spacing w:after="0"/>
              <w:jc w:val="left"/>
              <w:rPr>
                <w:rFonts w:eastAsia="Times New Roman" w:cs="Times New Roman"/>
                <w:color w:val="000000"/>
                <w:lang w:eastAsia="en-GB"/>
              </w:rPr>
            </w:pPr>
            <w:r>
              <w:rPr>
                <w:rFonts w:eastAsia="Times New Roman" w:cs="Times New Roman"/>
                <w:color w:val="000000"/>
                <w:lang w:eastAsia="en-GB"/>
              </w:rPr>
              <w:t>Customer Relationship Management</w:t>
            </w:r>
          </w:p>
        </w:tc>
      </w:tr>
      <w:tr w:rsidR="00E23A09" w:rsidRPr="00E23A09" w14:paraId="6E72014C"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0D7DA03E"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CSR</w:t>
            </w:r>
          </w:p>
        </w:tc>
        <w:tc>
          <w:tcPr>
            <w:tcW w:w="5724" w:type="dxa"/>
            <w:tcBorders>
              <w:top w:val="nil"/>
              <w:left w:val="nil"/>
              <w:bottom w:val="nil"/>
              <w:right w:val="nil"/>
            </w:tcBorders>
            <w:shd w:val="clear" w:color="auto" w:fill="auto"/>
            <w:noWrap/>
            <w:vAlign w:val="bottom"/>
            <w:hideMark/>
          </w:tcPr>
          <w:p w14:paraId="27792AF7"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Corporate Social Responsibility</w:t>
            </w:r>
          </w:p>
        </w:tc>
      </w:tr>
      <w:tr w:rsidR="00E23A09" w:rsidRPr="00E23A09" w14:paraId="4FFF1746" w14:textId="77777777" w:rsidTr="00634609">
        <w:trPr>
          <w:trHeight w:val="255"/>
          <w:jc w:val="center"/>
        </w:trPr>
        <w:tc>
          <w:tcPr>
            <w:tcW w:w="1869" w:type="dxa"/>
            <w:tcBorders>
              <w:top w:val="nil"/>
              <w:left w:val="nil"/>
              <w:bottom w:val="nil"/>
              <w:right w:val="nil"/>
            </w:tcBorders>
            <w:shd w:val="clear" w:color="auto" w:fill="auto"/>
            <w:noWrap/>
            <w:vAlign w:val="bottom"/>
          </w:tcPr>
          <w:p w14:paraId="26A8A9F6" w14:textId="5AA1AAEA" w:rsidR="00E23A09" w:rsidRPr="00E23A09" w:rsidRDefault="00E23A09" w:rsidP="00E23A09">
            <w:pPr>
              <w:spacing w:after="0"/>
              <w:jc w:val="left"/>
              <w:rPr>
                <w:rFonts w:eastAsia="Times New Roman" w:cs="Times New Roman"/>
                <w:color w:val="000000"/>
                <w:lang w:eastAsia="en-GB"/>
              </w:rPr>
            </w:pPr>
            <w:r>
              <w:rPr>
                <w:rFonts w:eastAsia="Times New Roman" w:cs="Times New Roman"/>
                <w:color w:val="000000"/>
                <w:lang w:eastAsia="en-GB"/>
              </w:rPr>
              <w:t>EaP</w:t>
            </w:r>
          </w:p>
        </w:tc>
        <w:tc>
          <w:tcPr>
            <w:tcW w:w="5724" w:type="dxa"/>
            <w:tcBorders>
              <w:top w:val="nil"/>
              <w:left w:val="nil"/>
              <w:bottom w:val="nil"/>
              <w:right w:val="nil"/>
            </w:tcBorders>
            <w:shd w:val="clear" w:color="auto" w:fill="auto"/>
            <w:noWrap/>
            <w:vAlign w:val="bottom"/>
          </w:tcPr>
          <w:p w14:paraId="2F8D04D4" w14:textId="3E678B64"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 xml:space="preserve">Eastern </w:t>
            </w:r>
            <w:r>
              <w:rPr>
                <w:rFonts w:eastAsia="Times New Roman" w:cs="Times New Roman"/>
                <w:color w:val="000000"/>
                <w:lang w:eastAsia="en-GB"/>
              </w:rPr>
              <w:t>Partners</w:t>
            </w:r>
          </w:p>
        </w:tc>
      </w:tr>
      <w:tr w:rsidR="00E23A09" w:rsidRPr="00E23A09" w14:paraId="689D18BE" w14:textId="77777777" w:rsidTr="00634609">
        <w:trPr>
          <w:trHeight w:val="255"/>
          <w:jc w:val="center"/>
        </w:trPr>
        <w:tc>
          <w:tcPr>
            <w:tcW w:w="1869" w:type="dxa"/>
            <w:tcBorders>
              <w:top w:val="nil"/>
              <w:left w:val="nil"/>
              <w:bottom w:val="nil"/>
              <w:right w:val="nil"/>
            </w:tcBorders>
            <w:shd w:val="clear" w:color="auto" w:fill="auto"/>
            <w:noWrap/>
            <w:vAlign w:val="bottom"/>
          </w:tcPr>
          <w:p w14:paraId="681A7342" w14:textId="6739FA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E</w:t>
            </w:r>
            <w:r>
              <w:rPr>
                <w:rFonts w:eastAsia="Times New Roman" w:cs="Times New Roman"/>
                <w:color w:val="000000"/>
                <w:lang w:eastAsia="en-GB"/>
              </w:rPr>
              <w:t>BRD</w:t>
            </w:r>
          </w:p>
        </w:tc>
        <w:tc>
          <w:tcPr>
            <w:tcW w:w="5724" w:type="dxa"/>
            <w:tcBorders>
              <w:top w:val="nil"/>
              <w:left w:val="nil"/>
              <w:bottom w:val="nil"/>
              <w:right w:val="nil"/>
            </w:tcBorders>
            <w:shd w:val="clear" w:color="auto" w:fill="auto"/>
            <w:noWrap/>
            <w:vAlign w:val="bottom"/>
          </w:tcPr>
          <w:p w14:paraId="59C4A93B" w14:textId="0DD63AB2" w:rsidR="00E23A09" w:rsidRPr="00E23A09" w:rsidRDefault="00E23A09" w:rsidP="0028512A">
            <w:pPr>
              <w:spacing w:after="0"/>
              <w:jc w:val="left"/>
              <w:rPr>
                <w:rFonts w:eastAsia="Times New Roman" w:cs="Times New Roman"/>
                <w:color w:val="000000"/>
                <w:lang w:eastAsia="en-GB"/>
              </w:rPr>
            </w:pPr>
            <w:r>
              <w:rPr>
                <w:rFonts w:eastAsia="Times New Roman" w:cs="Times New Roman"/>
                <w:color w:val="000000"/>
                <w:lang w:eastAsia="en-GB"/>
              </w:rPr>
              <w:t>European</w:t>
            </w:r>
            <w:r w:rsidRPr="00E23A09">
              <w:rPr>
                <w:rFonts w:eastAsia="Times New Roman" w:cs="Times New Roman"/>
                <w:color w:val="000000"/>
                <w:lang w:eastAsia="en-GB"/>
              </w:rPr>
              <w:t xml:space="preserve"> </w:t>
            </w:r>
            <w:r w:rsidR="0028512A">
              <w:rPr>
                <w:rFonts w:eastAsia="Times New Roman" w:cs="Times New Roman"/>
                <w:color w:val="000000"/>
                <w:lang w:eastAsia="en-GB"/>
              </w:rPr>
              <w:t>Bank</w:t>
            </w:r>
            <w:r w:rsidRPr="00E23A09">
              <w:rPr>
                <w:rFonts w:eastAsia="Times New Roman" w:cs="Times New Roman"/>
                <w:color w:val="000000"/>
                <w:lang w:eastAsia="en-GB"/>
              </w:rPr>
              <w:t xml:space="preserve"> </w:t>
            </w:r>
            <w:r w:rsidR="0028512A">
              <w:rPr>
                <w:rFonts w:eastAsia="Times New Roman" w:cs="Times New Roman"/>
                <w:color w:val="000000"/>
                <w:lang w:eastAsia="en-GB"/>
              </w:rPr>
              <w:t>for</w:t>
            </w:r>
            <w:r>
              <w:rPr>
                <w:rFonts w:eastAsia="Times New Roman" w:cs="Times New Roman"/>
                <w:color w:val="000000"/>
                <w:lang w:eastAsia="en-GB"/>
              </w:rPr>
              <w:t xml:space="preserve"> </w:t>
            </w:r>
            <w:r w:rsidR="0028512A">
              <w:rPr>
                <w:rFonts w:eastAsia="Times New Roman" w:cs="Times New Roman"/>
                <w:color w:val="000000"/>
                <w:lang w:eastAsia="en-GB"/>
              </w:rPr>
              <w:t>Reconstruction and</w:t>
            </w:r>
            <w:r>
              <w:rPr>
                <w:rFonts w:eastAsia="Times New Roman" w:cs="Times New Roman"/>
                <w:color w:val="000000"/>
                <w:lang w:eastAsia="en-GB"/>
              </w:rPr>
              <w:t xml:space="preserve"> Development</w:t>
            </w:r>
          </w:p>
        </w:tc>
      </w:tr>
      <w:tr w:rsidR="00B0449E" w:rsidRPr="00E23A09" w14:paraId="0092DB84" w14:textId="77777777" w:rsidTr="00634609">
        <w:trPr>
          <w:trHeight w:val="255"/>
          <w:jc w:val="center"/>
        </w:trPr>
        <w:tc>
          <w:tcPr>
            <w:tcW w:w="1869" w:type="dxa"/>
            <w:tcBorders>
              <w:top w:val="nil"/>
              <w:left w:val="nil"/>
              <w:bottom w:val="nil"/>
              <w:right w:val="nil"/>
            </w:tcBorders>
            <w:shd w:val="clear" w:color="auto" w:fill="auto"/>
            <w:noWrap/>
            <w:vAlign w:val="bottom"/>
          </w:tcPr>
          <w:p w14:paraId="19467570" w14:textId="1982E840" w:rsidR="00B0449E" w:rsidRPr="00E23A09"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EC</w:t>
            </w:r>
          </w:p>
        </w:tc>
        <w:tc>
          <w:tcPr>
            <w:tcW w:w="5724" w:type="dxa"/>
            <w:tcBorders>
              <w:top w:val="nil"/>
              <w:left w:val="nil"/>
              <w:bottom w:val="nil"/>
              <w:right w:val="nil"/>
            </w:tcBorders>
            <w:shd w:val="clear" w:color="auto" w:fill="auto"/>
            <w:noWrap/>
            <w:vAlign w:val="bottom"/>
          </w:tcPr>
          <w:p w14:paraId="3F1415BD" w14:textId="35EDA731" w:rsidR="00B0449E" w:rsidRPr="00E23A09"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European Commission</w:t>
            </w:r>
          </w:p>
        </w:tc>
      </w:tr>
      <w:tr w:rsidR="00B0449E" w:rsidRPr="00E23A09" w14:paraId="71041B62" w14:textId="77777777" w:rsidTr="00634609">
        <w:trPr>
          <w:trHeight w:val="255"/>
          <w:jc w:val="center"/>
        </w:trPr>
        <w:tc>
          <w:tcPr>
            <w:tcW w:w="1869" w:type="dxa"/>
            <w:tcBorders>
              <w:top w:val="nil"/>
              <w:left w:val="nil"/>
              <w:bottom w:val="nil"/>
              <w:right w:val="nil"/>
            </w:tcBorders>
            <w:shd w:val="clear" w:color="auto" w:fill="auto"/>
            <w:noWrap/>
            <w:vAlign w:val="bottom"/>
          </w:tcPr>
          <w:p w14:paraId="06B6CCE7" w14:textId="446F526C" w:rsidR="00B0449E" w:rsidRPr="00E23A09"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EIA</w:t>
            </w:r>
          </w:p>
        </w:tc>
        <w:tc>
          <w:tcPr>
            <w:tcW w:w="5724" w:type="dxa"/>
            <w:tcBorders>
              <w:top w:val="nil"/>
              <w:left w:val="nil"/>
              <w:bottom w:val="nil"/>
              <w:right w:val="nil"/>
            </w:tcBorders>
            <w:shd w:val="clear" w:color="auto" w:fill="auto"/>
            <w:noWrap/>
            <w:vAlign w:val="bottom"/>
          </w:tcPr>
          <w:p w14:paraId="2DDF77CF" w14:textId="29C0BE77" w:rsidR="00B0449E" w:rsidRPr="00E23A09"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Environmental Impact Assessment</w:t>
            </w:r>
          </w:p>
        </w:tc>
      </w:tr>
      <w:tr w:rsidR="00786051" w:rsidRPr="00E23A09" w14:paraId="7F07128A" w14:textId="77777777" w:rsidTr="00634609">
        <w:trPr>
          <w:trHeight w:val="255"/>
          <w:jc w:val="center"/>
        </w:trPr>
        <w:tc>
          <w:tcPr>
            <w:tcW w:w="1869" w:type="dxa"/>
            <w:tcBorders>
              <w:top w:val="nil"/>
              <w:left w:val="nil"/>
              <w:bottom w:val="nil"/>
              <w:right w:val="nil"/>
            </w:tcBorders>
            <w:shd w:val="clear" w:color="auto" w:fill="auto"/>
            <w:noWrap/>
            <w:vAlign w:val="bottom"/>
          </w:tcPr>
          <w:p w14:paraId="4ADBD66B" w14:textId="346B1986"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EITI</w:t>
            </w:r>
          </w:p>
        </w:tc>
        <w:tc>
          <w:tcPr>
            <w:tcW w:w="5724" w:type="dxa"/>
            <w:tcBorders>
              <w:top w:val="nil"/>
              <w:left w:val="nil"/>
              <w:bottom w:val="nil"/>
              <w:right w:val="nil"/>
            </w:tcBorders>
            <w:shd w:val="clear" w:color="auto" w:fill="auto"/>
            <w:noWrap/>
            <w:vAlign w:val="bottom"/>
          </w:tcPr>
          <w:p w14:paraId="6EBDB649" w14:textId="0250C1D4" w:rsidR="00786051" w:rsidRPr="00E23A09" w:rsidRDefault="00786051" w:rsidP="00E23A09">
            <w:pPr>
              <w:spacing w:after="0"/>
              <w:jc w:val="left"/>
              <w:rPr>
                <w:rFonts w:eastAsia="Times New Roman" w:cs="Times New Roman"/>
                <w:color w:val="000000"/>
                <w:lang w:eastAsia="en-GB"/>
              </w:rPr>
            </w:pPr>
            <w:r w:rsidRPr="00786051">
              <w:rPr>
                <w:rFonts w:eastAsia="Times New Roman" w:cs="Times New Roman"/>
                <w:color w:val="000000"/>
                <w:lang w:eastAsia="en-GB"/>
              </w:rPr>
              <w:t>Extractive Industries Transparency Initiative</w:t>
            </w:r>
          </w:p>
        </w:tc>
      </w:tr>
      <w:tr w:rsidR="00E23A09" w:rsidRPr="00E23A09" w14:paraId="2B2DB1CF"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6DCB28D5"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EU</w:t>
            </w:r>
          </w:p>
        </w:tc>
        <w:tc>
          <w:tcPr>
            <w:tcW w:w="5724" w:type="dxa"/>
            <w:tcBorders>
              <w:top w:val="nil"/>
              <w:left w:val="nil"/>
              <w:bottom w:val="nil"/>
              <w:right w:val="nil"/>
            </w:tcBorders>
            <w:shd w:val="clear" w:color="auto" w:fill="auto"/>
            <w:noWrap/>
            <w:vAlign w:val="bottom"/>
            <w:hideMark/>
          </w:tcPr>
          <w:p w14:paraId="25EA5E3B"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European Union</w:t>
            </w:r>
          </w:p>
        </w:tc>
      </w:tr>
      <w:tr w:rsidR="00E23A09" w:rsidRPr="00E23A09" w14:paraId="43E67A96"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130B2AC4"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FDI</w:t>
            </w:r>
          </w:p>
        </w:tc>
        <w:tc>
          <w:tcPr>
            <w:tcW w:w="5724" w:type="dxa"/>
            <w:tcBorders>
              <w:top w:val="nil"/>
              <w:left w:val="nil"/>
              <w:bottom w:val="nil"/>
              <w:right w:val="nil"/>
            </w:tcBorders>
            <w:shd w:val="clear" w:color="auto" w:fill="auto"/>
            <w:noWrap/>
            <w:vAlign w:val="bottom"/>
            <w:hideMark/>
          </w:tcPr>
          <w:p w14:paraId="2E746F81"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Foreign Direct Investment</w:t>
            </w:r>
          </w:p>
        </w:tc>
      </w:tr>
      <w:tr w:rsidR="00E23A09" w:rsidRPr="00E23A09" w14:paraId="4321448E" w14:textId="77777777" w:rsidTr="00634609">
        <w:trPr>
          <w:trHeight w:val="255"/>
          <w:jc w:val="center"/>
        </w:trPr>
        <w:tc>
          <w:tcPr>
            <w:tcW w:w="1869" w:type="dxa"/>
            <w:tcBorders>
              <w:top w:val="nil"/>
              <w:left w:val="nil"/>
              <w:bottom w:val="nil"/>
              <w:right w:val="nil"/>
            </w:tcBorders>
            <w:shd w:val="clear" w:color="auto" w:fill="auto"/>
            <w:noWrap/>
            <w:vAlign w:val="bottom"/>
          </w:tcPr>
          <w:p w14:paraId="48897256" w14:textId="7DD34DF8" w:rsidR="00E23A09" w:rsidRPr="00E23A09" w:rsidRDefault="00E23A09" w:rsidP="00FB1E03">
            <w:pPr>
              <w:spacing w:after="0"/>
              <w:jc w:val="left"/>
              <w:rPr>
                <w:rFonts w:eastAsia="Times New Roman" w:cs="Times New Roman"/>
                <w:color w:val="000000"/>
                <w:lang w:eastAsia="en-GB"/>
              </w:rPr>
            </w:pPr>
            <w:r w:rsidRPr="00E23A09">
              <w:rPr>
                <w:rFonts w:eastAsia="Times New Roman" w:cs="Times New Roman"/>
                <w:color w:val="000000"/>
                <w:lang w:eastAsia="en-GB"/>
              </w:rPr>
              <w:t>F</w:t>
            </w:r>
            <w:r w:rsidR="00FB1E03">
              <w:rPr>
                <w:rFonts w:eastAsia="Times New Roman" w:cs="Times New Roman"/>
                <w:color w:val="000000"/>
                <w:lang w:eastAsia="en-GB"/>
              </w:rPr>
              <w:t>E</w:t>
            </w:r>
            <w:r w:rsidRPr="00E23A09">
              <w:rPr>
                <w:rFonts w:eastAsia="Times New Roman" w:cs="Times New Roman"/>
                <w:color w:val="000000"/>
                <w:lang w:eastAsia="en-GB"/>
              </w:rPr>
              <w:t>Z</w:t>
            </w:r>
          </w:p>
        </w:tc>
        <w:tc>
          <w:tcPr>
            <w:tcW w:w="5724" w:type="dxa"/>
            <w:tcBorders>
              <w:top w:val="nil"/>
              <w:left w:val="nil"/>
              <w:bottom w:val="nil"/>
              <w:right w:val="nil"/>
            </w:tcBorders>
            <w:shd w:val="clear" w:color="auto" w:fill="auto"/>
            <w:noWrap/>
            <w:vAlign w:val="bottom"/>
          </w:tcPr>
          <w:p w14:paraId="5BF43850" w14:textId="49978AA4" w:rsidR="00E23A09" w:rsidRPr="00E23A09" w:rsidRDefault="00E23A09" w:rsidP="00FB1E03">
            <w:pPr>
              <w:spacing w:after="0"/>
              <w:jc w:val="left"/>
              <w:rPr>
                <w:rFonts w:eastAsia="Times New Roman" w:cs="Times New Roman"/>
                <w:color w:val="000000"/>
                <w:lang w:eastAsia="en-GB"/>
              </w:rPr>
            </w:pPr>
            <w:r w:rsidRPr="00E23A09">
              <w:rPr>
                <w:rFonts w:eastAsia="Times New Roman" w:cs="Times New Roman"/>
                <w:color w:val="000000"/>
                <w:lang w:eastAsia="en-GB"/>
              </w:rPr>
              <w:t xml:space="preserve">Free </w:t>
            </w:r>
            <w:r w:rsidR="00FB1E03">
              <w:rPr>
                <w:rFonts w:eastAsia="Times New Roman" w:cs="Times New Roman"/>
                <w:color w:val="000000"/>
                <w:lang w:eastAsia="en-GB"/>
              </w:rPr>
              <w:t>Economic</w:t>
            </w:r>
            <w:r w:rsidRPr="00E23A09">
              <w:rPr>
                <w:rFonts w:eastAsia="Times New Roman" w:cs="Times New Roman"/>
                <w:color w:val="000000"/>
                <w:lang w:eastAsia="en-GB"/>
              </w:rPr>
              <w:t xml:space="preserve"> Zone</w:t>
            </w:r>
          </w:p>
        </w:tc>
      </w:tr>
      <w:tr w:rsidR="00E23A09" w:rsidRPr="00E23A09" w14:paraId="480328DC"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6E4FE03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GDP</w:t>
            </w:r>
          </w:p>
        </w:tc>
        <w:tc>
          <w:tcPr>
            <w:tcW w:w="5724" w:type="dxa"/>
            <w:tcBorders>
              <w:top w:val="nil"/>
              <w:left w:val="nil"/>
              <w:bottom w:val="nil"/>
              <w:right w:val="nil"/>
            </w:tcBorders>
            <w:shd w:val="clear" w:color="auto" w:fill="auto"/>
            <w:noWrap/>
            <w:vAlign w:val="bottom"/>
            <w:hideMark/>
          </w:tcPr>
          <w:p w14:paraId="095975A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Gross Domestic Product</w:t>
            </w:r>
          </w:p>
        </w:tc>
      </w:tr>
      <w:tr w:rsidR="00E23A09" w:rsidRPr="00E23A09" w14:paraId="707344C7"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553AAF7C" w14:textId="5619AD9C" w:rsidR="00E23A09" w:rsidRPr="00E23A09" w:rsidRDefault="00E23A09" w:rsidP="00E23A09">
            <w:pPr>
              <w:spacing w:after="0"/>
              <w:jc w:val="left"/>
              <w:rPr>
                <w:rFonts w:eastAsia="Times New Roman" w:cs="Times New Roman"/>
                <w:color w:val="000000"/>
                <w:lang w:eastAsia="en-GB"/>
              </w:rPr>
            </w:pPr>
            <w:r>
              <w:rPr>
                <w:rFonts w:eastAsia="Times New Roman" w:cs="Times New Roman"/>
                <w:color w:val="000000"/>
                <w:lang w:eastAsia="en-GB"/>
              </w:rPr>
              <w:t>IC</w:t>
            </w:r>
            <w:r w:rsidR="00C5704D">
              <w:rPr>
                <w:rFonts w:eastAsia="Times New Roman" w:cs="Times New Roman"/>
                <w:color w:val="000000"/>
                <w:lang w:eastAsia="en-GB"/>
              </w:rPr>
              <w:t>T</w:t>
            </w:r>
          </w:p>
        </w:tc>
        <w:tc>
          <w:tcPr>
            <w:tcW w:w="5724" w:type="dxa"/>
            <w:tcBorders>
              <w:top w:val="nil"/>
              <w:left w:val="nil"/>
              <w:bottom w:val="nil"/>
              <w:right w:val="nil"/>
            </w:tcBorders>
            <w:shd w:val="clear" w:color="auto" w:fill="auto"/>
            <w:noWrap/>
            <w:vAlign w:val="bottom"/>
            <w:hideMark/>
          </w:tcPr>
          <w:p w14:paraId="476B0A34" w14:textId="6BFE0B15" w:rsidR="00E23A09" w:rsidRPr="00E23A09" w:rsidRDefault="00E23A09" w:rsidP="00E23A09">
            <w:pPr>
              <w:spacing w:after="0"/>
              <w:jc w:val="left"/>
              <w:rPr>
                <w:rFonts w:eastAsia="Times New Roman" w:cs="Times New Roman"/>
                <w:color w:val="000000"/>
                <w:lang w:eastAsia="en-GB"/>
              </w:rPr>
            </w:pPr>
            <w:r>
              <w:rPr>
                <w:rFonts w:eastAsia="Times New Roman" w:cs="Times New Roman"/>
                <w:color w:val="000000"/>
                <w:lang w:eastAsia="en-GB"/>
              </w:rPr>
              <w:t>Information and Communication</w:t>
            </w:r>
            <w:r w:rsidRPr="00E23A09">
              <w:rPr>
                <w:rFonts w:eastAsia="Times New Roman" w:cs="Times New Roman"/>
                <w:color w:val="000000"/>
                <w:lang w:eastAsia="en-GB"/>
              </w:rPr>
              <w:t xml:space="preserve"> </w:t>
            </w:r>
            <w:r>
              <w:rPr>
                <w:rFonts w:eastAsia="Times New Roman" w:cs="Times New Roman"/>
                <w:color w:val="000000"/>
                <w:lang w:eastAsia="en-GB"/>
              </w:rPr>
              <w:t>Technology</w:t>
            </w:r>
          </w:p>
        </w:tc>
      </w:tr>
      <w:tr w:rsidR="00AB1A30" w:rsidRPr="00E23A09" w14:paraId="7B0E57A6" w14:textId="77777777" w:rsidTr="00634609">
        <w:trPr>
          <w:trHeight w:val="255"/>
          <w:jc w:val="center"/>
        </w:trPr>
        <w:tc>
          <w:tcPr>
            <w:tcW w:w="1869" w:type="dxa"/>
            <w:tcBorders>
              <w:top w:val="nil"/>
              <w:left w:val="nil"/>
              <w:bottom w:val="nil"/>
              <w:right w:val="nil"/>
            </w:tcBorders>
            <w:shd w:val="clear" w:color="auto" w:fill="auto"/>
            <w:noWrap/>
            <w:vAlign w:val="bottom"/>
          </w:tcPr>
          <w:p w14:paraId="73759A21" w14:textId="6B093FBB" w:rsidR="00AB1A30" w:rsidRDefault="00AB1A30" w:rsidP="00E23A09">
            <w:pPr>
              <w:spacing w:after="0"/>
              <w:jc w:val="left"/>
              <w:rPr>
                <w:rFonts w:eastAsia="Times New Roman" w:cs="Times New Roman"/>
                <w:color w:val="000000"/>
                <w:lang w:eastAsia="en-GB"/>
              </w:rPr>
            </w:pPr>
            <w:r>
              <w:rPr>
                <w:rFonts w:eastAsia="Times New Roman" w:cs="Times New Roman"/>
                <w:color w:val="000000"/>
                <w:lang w:eastAsia="en-GB"/>
              </w:rPr>
              <w:t>IDB</w:t>
            </w:r>
          </w:p>
        </w:tc>
        <w:tc>
          <w:tcPr>
            <w:tcW w:w="5724" w:type="dxa"/>
            <w:tcBorders>
              <w:top w:val="nil"/>
              <w:left w:val="nil"/>
              <w:bottom w:val="nil"/>
              <w:right w:val="nil"/>
            </w:tcBorders>
            <w:shd w:val="clear" w:color="auto" w:fill="auto"/>
            <w:noWrap/>
            <w:vAlign w:val="bottom"/>
          </w:tcPr>
          <w:p w14:paraId="01A6E791" w14:textId="2BA4E311" w:rsidR="00AB1A30" w:rsidRDefault="00AB1A30" w:rsidP="00E23A09">
            <w:pPr>
              <w:spacing w:after="0"/>
              <w:jc w:val="left"/>
              <w:rPr>
                <w:rFonts w:eastAsia="Times New Roman" w:cs="Times New Roman"/>
                <w:color w:val="000000"/>
                <w:lang w:eastAsia="en-GB"/>
              </w:rPr>
            </w:pPr>
            <w:r>
              <w:rPr>
                <w:rFonts w:eastAsia="Times New Roman" w:cs="Times New Roman"/>
                <w:color w:val="000000"/>
                <w:lang w:eastAsia="en-GB"/>
              </w:rPr>
              <w:t>Inter-American Development Bank</w:t>
            </w:r>
          </w:p>
        </w:tc>
      </w:tr>
      <w:tr w:rsidR="00786051" w:rsidRPr="00E23A09" w14:paraId="0EFF9F38" w14:textId="77777777" w:rsidTr="00634609">
        <w:trPr>
          <w:trHeight w:val="255"/>
          <w:jc w:val="center"/>
        </w:trPr>
        <w:tc>
          <w:tcPr>
            <w:tcW w:w="1869" w:type="dxa"/>
            <w:tcBorders>
              <w:top w:val="nil"/>
              <w:left w:val="nil"/>
              <w:bottom w:val="nil"/>
              <w:right w:val="nil"/>
            </w:tcBorders>
            <w:shd w:val="clear" w:color="auto" w:fill="auto"/>
            <w:noWrap/>
            <w:vAlign w:val="bottom"/>
          </w:tcPr>
          <w:p w14:paraId="036E6299" w14:textId="1073ED49" w:rsidR="00786051"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IFC</w:t>
            </w:r>
          </w:p>
        </w:tc>
        <w:tc>
          <w:tcPr>
            <w:tcW w:w="5724" w:type="dxa"/>
            <w:tcBorders>
              <w:top w:val="nil"/>
              <w:left w:val="nil"/>
              <w:bottom w:val="nil"/>
              <w:right w:val="nil"/>
            </w:tcBorders>
            <w:shd w:val="clear" w:color="auto" w:fill="auto"/>
            <w:noWrap/>
            <w:vAlign w:val="bottom"/>
          </w:tcPr>
          <w:p w14:paraId="3CC93B95" w14:textId="6209F27A" w:rsidR="00786051"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International Finance Cooperation</w:t>
            </w:r>
          </w:p>
        </w:tc>
      </w:tr>
      <w:tr w:rsidR="00B0449E" w:rsidRPr="00E23A09" w14:paraId="1E498F5E" w14:textId="77777777" w:rsidTr="00634609">
        <w:trPr>
          <w:trHeight w:val="255"/>
          <w:jc w:val="center"/>
        </w:trPr>
        <w:tc>
          <w:tcPr>
            <w:tcW w:w="1869" w:type="dxa"/>
            <w:tcBorders>
              <w:top w:val="nil"/>
              <w:left w:val="nil"/>
              <w:bottom w:val="nil"/>
              <w:right w:val="nil"/>
            </w:tcBorders>
            <w:shd w:val="clear" w:color="auto" w:fill="auto"/>
            <w:noWrap/>
            <w:vAlign w:val="bottom"/>
          </w:tcPr>
          <w:p w14:paraId="1648952F" w14:textId="17EFFFA1"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ILO</w:t>
            </w:r>
          </w:p>
        </w:tc>
        <w:tc>
          <w:tcPr>
            <w:tcW w:w="5724" w:type="dxa"/>
            <w:tcBorders>
              <w:top w:val="nil"/>
              <w:left w:val="nil"/>
              <w:bottom w:val="nil"/>
              <w:right w:val="nil"/>
            </w:tcBorders>
            <w:shd w:val="clear" w:color="auto" w:fill="auto"/>
            <w:noWrap/>
            <w:vAlign w:val="bottom"/>
          </w:tcPr>
          <w:p w14:paraId="798FD775" w14:textId="3BA1667B"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International Labour Organization</w:t>
            </w:r>
          </w:p>
        </w:tc>
      </w:tr>
      <w:tr w:rsidR="00B0449E" w:rsidRPr="00E23A09" w14:paraId="365B7061" w14:textId="77777777" w:rsidTr="00634609">
        <w:trPr>
          <w:trHeight w:val="255"/>
          <w:jc w:val="center"/>
        </w:trPr>
        <w:tc>
          <w:tcPr>
            <w:tcW w:w="1869" w:type="dxa"/>
            <w:tcBorders>
              <w:top w:val="nil"/>
              <w:left w:val="nil"/>
              <w:bottom w:val="nil"/>
              <w:right w:val="nil"/>
            </w:tcBorders>
            <w:shd w:val="clear" w:color="auto" w:fill="auto"/>
            <w:noWrap/>
            <w:vAlign w:val="bottom"/>
          </w:tcPr>
          <w:p w14:paraId="259621DB" w14:textId="1E2EB70A"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IMF</w:t>
            </w:r>
          </w:p>
        </w:tc>
        <w:tc>
          <w:tcPr>
            <w:tcW w:w="5724" w:type="dxa"/>
            <w:tcBorders>
              <w:top w:val="nil"/>
              <w:left w:val="nil"/>
              <w:bottom w:val="nil"/>
              <w:right w:val="nil"/>
            </w:tcBorders>
            <w:shd w:val="clear" w:color="auto" w:fill="auto"/>
            <w:noWrap/>
            <w:vAlign w:val="bottom"/>
          </w:tcPr>
          <w:p w14:paraId="0B9D8DF4" w14:textId="45D539D8" w:rsidR="00B0449E" w:rsidRDefault="00B0449E" w:rsidP="00E23A09">
            <w:pPr>
              <w:spacing w:after="0"/>
              <w:jc w:val="left"/>
              <w:rPr>
                <w:rFonts w:eastAsia="Times New Roman" w:cs="Times New Roman"/>
                <w:color w:val="000000"/>
                <w:lang w:eastAsia="en-GB"/>
              </w:rPr>
            </w:pPr>
            <w:r>
              <w:rPr>
                <w:rFonts w:eastAsia="Times New Roman" w:cs="Times New Roman"/>
                <w:color w:val="000000"/>
                <w:lang w:eastAsia="en-GB"/>
              </w:rPr>
              <w:t>International Monetary Fund</w:t>
            </w:r>
          </w:p>
        </w:tc>
      </w:tr>
      <w:tr w:rsidR="004538EF" w:rsidRPr="00E23A09" w14:paraId="6934E88D" w14:textId="77777777" w:rsidTr="00634609">
        <w:trPr>
          <w:trHeight w:val="255"/>
          <w:jc w:val="center"/>
        </w:trPr>
        <w:tc>
          <w:tcPr>
            <w:tcW w:w="1869" w:type="dxa"/>
            <w:tcBorders>
              <w:top w:val="nil"/>
              <w:left w:val="nil"/>
              <w:bottom w:val="nil"/>
              <w:right w:val="nil"/>
            </w:tcBorders>
            <w:shd w:val="clear" w:color="auto" w:fill="auto"/>
            <w:noWrap/>
            <w:vAlign w:val="bottom"/>
          </w:tcPr>
          <w:p w14:paraId="6E9FE818" w14:textId="50592DA9" w:rsidR="004538EF" w:rsidRPr="00E23A09" w:rsidRDefault="004538EF" w:rsidP="00E23A09">
            <w:pPr>
              <w:spacing w:after="0"/>
              <w:jc w:val="left"/>
              <w:rPr>
                <w:rFonts w:eastAsia="Times New Roman" w:cs="Times New Roman"/>
                <w:color w:val="000000"/>
                <w:lang w:eastAsia="en-GB"/>
              </w:rPr>
            </w:pPr>
            <w:r>
              <w:rPr>
                <w:rFonts w:eastAsia="Times New Roman" w:cs="Times New Roman"/>
                <w:color w:val="000000"/>
                <w:lang w:eastAsia="en-GB"/>
              </w:rPr>
              <w:t>IPA</w:t>
            </w:r>
          </w:p>
        </w:tc>
        <w:tc>
          <w:tcPr>
            <w:tcW w:w="5724" w:type="dxa"/>
            <w:tcBorders>
              <w:top w:val="nil"/>
              <w:left w:val="nil"/>
              <w:bottom w:val="nil"/>
              <w:right w:val="nil"/>
            </w:tcBorders>
            <w:shd w:val="clear" w:color="auto" w:fill="auto"/>
            <w:noWrap/>
            <w:vAlign w:val="bottom"/>
          </w:tcPr>
          <w:p w14:paraId="0797E4E5" w14:textId="33E0DF30" w:rsidR="004538EF" w:rsidRPr="00E23A09" w:rsidRDefault="004538EF" w:rsidP="00E23A09">
            <w:pPr>
              <w:spacing w:after="0"/>
              <w:jc w:val="left"/>
              <w:rPr>
                <w:rFonts w:eastAsia="Times New Roman" w:cs="Times New Roman"/>
                <w:color w:val="000000"/>
                <w:lang w:eastAsia="en-GB"/>
              </w:rPr>
            </w:pPr>
            <w:r>
              <w:rPr>
                <w:rFonts w:eastAsia="Times New Roman" w:cs="Times New Roman"/>
                <w:color w:val="000000"/>
                <w:lang w:eastAsia="en-GB"/>
              </w:rPr>
              <w:t>Investment Promotion Agency</w:t>
            </w:r>
          </w:p>
        </w:tc>
      </w:tr>
      <w:tr w:rsidR="00E23A09" w:rsidRPr="00E23A09" w14:paraId="2E29A770"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5DB9C02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MNE</w:t>
            </w:r>
          </w:p>
        </w:tc>
        <w:tc>
          <w:tcPr>
            <w:tcW w:w="5724" w:type="dxa"/>
            <w:tcBorders>
              <w:top w:val="nil"/>
              <w:left w:val="nil"/>
              <w:bottom w:val="nil"/>
              <w:right w:val="nil"/>
            </w:tcBorders>
            <w:shd w:val="clear" w:color="auto" w:fill="auto"/>
            <w:noWrap/>
            <w:vAlign w:val="bottom"/>
            <w:hideMark/>
          </w:tcPr>
          <w:p w14:paraId="3A0D600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Multinational Enterprise</w:t>
            </w:r>
          </w:p>
        </w:tc>
      </w:tr>
      <w:tr w:rsidR="004538EF" w:rsidRPr="00E23A09" w14:paraId="4710DDED" w14:textId="77777777" w:rsidTr="00634609">
        <w:trPr>
          <w:trHeight w:val="255"/>
          <w:jc w:val="center"/>
        </w:trPr>
        <w:tc>
          <w:tcPr>
            <w:tcW w:w="1869" w:type="dxa"/>
            <w:tcBorders>
              <w:top w:val="nil"/>
              <w:left w:val="nil"/>
              <w:bottom w:val="nil"/>
              <w:right w:val="nil"/>
            </w:tcBorders>
            <w:shd w:val="clear" w:color="auto" w:fill="auto"/>
            <w:noWrap/>
            <w:vAlign w:val="bottom"/>
          </w:tcPr>
          <w:p w14:paraId="17D25B2F" w14:textId="0ED67FD4" w:rsidR="004538EF" w:rsidRPr="00E23A09" w:rsidRDefault="004538EF" w:rsidP="00E23A09">
            <w:pPr>
              <w:spacing w:after="0"/>
              <w:jc w:val="left"/>
              <w:rPr>
                <w:rFonts w:eastAsia="Times New Roman" w:cs="Times New Roman"/>
                <w:color w:val="000000"/>
                <w:lang w:eastAsia="en-GB"/>
              </w:rPr>
            </w:pPr>
            <w:r>
              <w:rPr>
                <w:rFonts w:eastAsia="Times New Roman" w:cs="Times New Roman"/>
                <w:color w:val="000000"/>
                <w:lang w:eastAsia="en-GB"/>
              </w:rPr>
              <w:t>NAIP</w:t>
            </w:r>
          </w:p>
        </w:tc>
        <w:tc>
          <w:tcPr>
            <w:tcW w:w="5724" w:type="dxa"/>
            <w:tcBorders>
              <w:top w:val="nil"/>
              <w:left w:val="nil"/>
              <w:bottom w:val="nil"/>
              <w:right w:val="nil"/>
            </w:tcBorders>
            <w:shd w:val="clear" w:color="auto" w:fill="auto"/>
            <w:noWrap/>
            <w:vAlign w:val="bottom"/>
          </w:tcPr>
          <w:p w14:paraId="7C00D5A4" w14:textId="75F58233" w:rsidR="004538EF" w:rsidRPr="00E23A09" w:rsidRDefault="004538EF" w:rsidP="00E23A09">
            <w:pPr>
              <w:spacing w:after="0"/>
              <w:jc w:val="left"/>
              <w:rPr>
                <w:rFonts w:eastAsia="Times New Roman" w:cs="Times New Roman"/>
                <w:color w:val="000000"/>
                <w:lang w:eastAsia="en-GB"/>
              </w:rPr>
            </w:pPr>
            <w:r w:rsidRPr="00DC577E">
              <w:t>National Agency of Investment and Privat</w:t>
            </w:r>
            <w:r>
              <w:t>isation of Belarus</w:t>
            </w:r>
          </w:p>
        </w:tc>
      </w:tr>
      <w:tr w:rsidR="00786051" w:rsidRPr="00E23A09" w14:paraId="2DB6770D" w14:textId="77777777" w:rsidTr="00634609">
        <w:trPr>
          <w:trHeight w:val="255"/>
          <w:jc w:val="center"/>
        </w:trPr>
        <w:tc>
          <w:tcPr>
            <w:tcW w:w="1869" w:type="dxa"/>
            <w:tcBorders>
              <w:top w:val="nil"/>
              <w:left w:val="nil"/>
              <w:bottom w:val="nil"/>
              <w:right w:val="nil"/>
            </w:tcBorders>
            <w:shd w:val="clear" w:color="auto" w:fill="auto"/>
            <w:noWrap/>
            <w:vAlign w:val="bottom"/>
          </w:tcPr>
          <w:p w14:paraId="58912DF7" w14:textId="3AC24A67" w:rsidR="00786051"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NAP</w:t>
            </w:r>
          </w:p>
        </w:tc>
        <w:tc>
          <w:tcPr>
            <w:tcW w:w="5724" w:type="dxa"/>
            <w:tcBorders>
              <w:top w:val="nil"/>
              <w:left w:val="nil"/>
              <w:bottom w:val="nil"/>
              <w:right w:val="nil"/>
            </w:tcBorders>
            <w:shd w:val="clear" w:color="auto" w:fill="auto"/>
            <w:noWrap/>
            <w:vAlign w:val="bottom"/>
          </w:tcPr>
          <w:p w14:paraId="549D32E6" w14:textId="5B22FFC3" w:rsidR="00786051"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National Action Plan</w:t>
            </w:r>
          </w:p>
        </w:tc>
      </w:tr>
      <w:tr w:rsidR="00786051" w:rsidRPr="00E23A09" w14:paraId="032D9C2A" w14:textId="77777777" w:rsidTr="00634609">
        <w:trPr>
          <w:trHeight w:val="255"/>
          <w:jc w:val="center"/>
        </w:trPr>
        <w:tc>
          <w:tcPr>
            <w:tcW w:w="1869" w:type="dxa"/>
            <w:tcBorders>
              <w:top w:val="nil"/>
              <w:left w:val="nil"/>
              <w:bottom w:val="nil"/>
              <w:right w:val="nil"/>
            </w:tcBorders>
            <w:shd w:val="clear" w:color="auto" w:fill="auto"/>
            <w:noWrap/>
            <w:vAlign w:val="bottom"/>
          </w:tcPr>
          <w:p w14:paraId="4FB5E383" w14:textId="5D603D82"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NCP</w:t>
            </w:r>
          </w:p>
        </w:tc>
        <w:tc>
          <w:tcPr>
            <w:tcW w:w="5724" w:type="dxa"/>
            <w:tcBorders>
              <w:top w:val="nil"/>
              <w:left w:val="nil"/>
              <w:bottom w:val="nil"/>
              <w:right w:val="nil"/>
            </w:tcBorders>
            <w:shd w:val="clear" w:color="auto" w:fill="auto"/>
            <w:noWrap/>
            <w:vAlign w:val="bottom"/>
          </w:tcPr>
          <w:p w14:paraId="0FE5EFCF" w14:textId="10EE6318"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National Contact Point</w:t>
            </w:r>
          </w:p>
        </w:tc>
      </w:tr>
      <w:tr w:rsidR="00D21780" w:rsidRPr="00E23A09" w14:paraId="25AE24F4" w14:textId="77777777" w:rsidTr="00634609">
        <w:trPr>
          <w:trHeight w:val="255"/>
          <w:jc w:val="center"/>
        </w:trPr>
        <w:tc>
          <w:tcPr>
            <w:tcW w:w="1869" w:type="dxa"/>
            <w:tcBorders>
              <w:top w:val="nil"/>
              <w:left w:val="nil"/>
              <w:bottom w:val="nil"/>
              <w:right w:val="nil"/>
            </w:tcBorders>
            <w:shd w:val="clear" w:color="auto" w:fill="auto"/>
            <w:noWrap/>
            <w:vAlign w:val="bottom"/>
          </w:tcPr>
          <w:p w14:paraId="66E87252" w14:textId="3510863B" w:rsidR="00D21780" w:rsidRPr="00E23A09" w:rsidRDefault="00D21780" w:rsidP="00E23A09">
            <w:pPr>
              <w:spacing w:after="0"/>
              <w:jc w:val="left"/>
              <w:rPr>
                <w:rFonts w:eastAsia="Times New Roman" w:cs="Times New Roman"/>
                <w:color w:val="000000"/>
                <w:lang w:eastAsia="en-GB"/>
              </w:rPr>
            </w:pPr>
            <w:r>
              <w:rPr>
                <w:rFonts w:eastAsia="Times New Roman" w:cs="Times New Roman"/>
                <w:color w:val="000000"/>
                <w:lang w:eastAsia="en-GB"/>
              </w:rPr>
              <w:t>NGO</w:t>
            </w:r>
          </w:p>
        </w:tc>
        <w:tc>
          <w:tcPr>
            <w:tcW w:w="5724" w:type="dxa"/>
            <w:tcBorders>
              <w:top w:val="nil"/>
              <w:left w:val="nil"/>
              <w:bottom w:val="nil"/>
              <w:right w:val="nil"/>
            </w:tcBorders>
            <w:shd w:val="clear" w:color="auto" w:fill="auto"/>
            <w:noWrap/>
            <w:vAlign w:val="bottom"/>
          </w:tcPr>
          <w:p w14:paraId="7E769139" w14:textId="265A261E" w:rsidR="00D21780" w:rsidRPr="00E23A09" w:rsidRDefault="00D21780" w:rsidP="00E23A09">
            <w:pPr>
              <w:spacing w:after="0"/>
              <w:jc w:val="left"/>
              <w:rPr>
                <w:rFonts w:eastAsia="Times New Roman" w:cs="Times New Roman"/>
                <w:color w:val="000000"/>
                <w:lang w:eastAsia="en-GB"/>
              </w:rPr>
            </w:pPr>
            <w:r>
              <w:rPr>
                <w:rFonts w:eastAsia="Times New Roman" w:cs="Times New Roman"/>
                <w:color w:val="000000"/>
                <w:lang w:eastAsia="en-GB"/>
              </w:rPr>
              <w:t>Non-Governmental Organisation</w:t>
            </w:r>
          </w:p>
        </w:tc>
      </w:tr>
      <w:tr w:rsidR="00E23A09" w:rsidRPr="00E23A09" w14:paraId="28A347C6"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0F0944B0"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OECD</w:t>
            </w:r>
          </w:p>
        </w:tc>
        <w:tc>
          <w:tcPr>
            <w:tcW w:w="5724" w:type="dxa"/>
            <w:tcBorders>
              <w:top w:val="nil"/>
              <w:left w:val="nil"/>
              <w:bottom w:val="nil"/>
              <w:right w:val="nil"/>
            </w:tcBorders>
            <w:shd w:val="clear" w:color="auto" w:fill="auto"/>
            <w:noWrap/>
            <w:vAlign w:val="bottom"/>
            <w:hideMark/>
          </w:tcPr>
          <w:p w14:paraId="719CD4F9"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Organisation for Economic Co-operation and Development</w:t>
            </w:r>
          </w:p>
        </w:tc>
      </w:tr>
      <w:tr w:rsidR="00E23A09" w:rsidRPr="00E23A09" w14:paraId="43D58739"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0882D7A7"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R&amp;D</w:t>
            </w:r>
          </w:p>
        </w:tc>
        <w:tc>
          <w:tcPr>
            <w:tcW w:w="5724" w:type="dxa"/>
            <w:tcBorders>
              <w:top w:val="nil"/>
              <w:left w:val="nil"/>
              <w:bottom w:val="nil"/>
              <w:right w:val="nil"/>
            </w:tcBorders>
            <w:shd w:val="clear" w:color="auto" w:fill="auto"/>
            <w:noWrap/>
            <w:vAlign w:val="bottom"/>
            <w:hideMark/>
          </w:tcPr>
          <w:p w14:paraId="1E97E269"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Research and Development</w:t>
            </w:r>
          </w:p>
        </w:tc>
      </w:tr>
      <w:tr w:rsidR="00E23A09" w:rsidRPr="00E23A09" w14:paraId="75601D4A"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71B16E92"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RBC</w:t>
            </w:r>
          </w:p>
        </w:tc>
        <w:tc>
          <w:tcPr>
            <w:tcW w:w="5724" w:type="dxa"/>
            <w:tcBorders>
              <w:top w:val="nil"/>
              <w:left w:val="nil"/>
              <w:bottom w:val="nil"/>
              <w:right w:val="nil"/>
            </w:tcBorders>
            <w:shd w:val="clear" w:color="auto" w:fill="auto"/>
            <w:noWrap/>
            <w:vAlign w:val="bottom"/>
            <w:hideMark/>
          </w:tcPr>
          <w:p w14:paraId="3EEBC13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Responsible Business Conduct</w:t>
            </w:r>
          </w:p>
        </w:tc>
      </w:tr>
      <w:tr w:rsidR="00E23A09" w:rsidRPr="00E23A09" w14:paraId="5D3A1CB0"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3B17D948"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 xml:space="preserve">SEZ </w:t>
            </w:r>
          </w:p>
        </w:tc>
        <w:tc>
          <w:tcPr>
            <w:tcW w:w="5724" w:type="dxa"/>
            <w:tcBorders>
              <w:top w:val="nil"/>
              <w:left w:val="nil"/>
              <w:bottom w:val="nil"/>
              <w:right w:val="nil"/>
            </w:tcBorders>
            <w:shd w:val="clear" w:color="auto" w:fill="auto"/>
            <w:noWrap/>
            <w:vAlign w:val="bottom"/>
            <w:hideMark/>
          </w:tcPr>
          <w:p w14:paraId="1CF77B19"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Special Economic Zone</w:t>
            </w:r>
          </w:p>
        </w:tc>
      </w:tr>
      <w:tr w:rsidR="00E23A09" w:rsidRPr="00E23A09" w14:paraId="19043E37"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196B6508"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SME</w:t>
            </w:r>
          </w:p>
        </w:tc>
        <w:tc>
          <w:tcPr>
            <w:tcW w:w="5724" w:type="dxa"/>
            <w:tcBorders>
              <w:top w:val="nil"/>
              <w:left w:val="nil"/>
              <w:bottom w:val="nil"/>
              <w:right w:val="nil"/>
            </w:tcBorders>
            <w:shd w:val="clear" w:color="auto" w:fill="auto"/>
            <w:noWrap/>
            <w:vAlign w:val="bottom"/>
            <w:hideMark/>
          </w:tcPr>
          <w:p w14:paraId="480F9642"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Small and Medium-sized Enterprise</w:t>
            </w:r>
          </w:p>
        </w:tc>
      </w:tr>
      <w:tr w:rsidR="00786051" w:rsidRPr="00E23A09" w14:paraId="1027C68A" w14:textId="77777777" w:rsidTr="00634609">
        <w:trPr>
          <w:trHeight w:val="255"/>
          <w:jc w:val="center"/>
        </w:trPr>
        <w:tc>
          <w:tcPr>
            <w:tcW w:w="1869" w:type="dxa"/>
            <w:tcBorders>
              <w:top w:val="nil"/>
              <w:left w:val="nil"/>
              <w:bottom w:val="nil"/>
              <w:right w:val="nil"/>
            </w:tcBorders>
            <w:shd w:val="clear" w:color="auto" w:fill="auto"/>
            <w:noWrap/>
            <w:vAlign w:val="bottom"/>
          </w:tcPr>
          <w:p w14:paraId="00C3AB48" w14:textId="30DB82B9"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SOE</w:t>
            </w:r>
          </w:p>
        </w:tc>
        <w:tc>
          <w:tcPr>
            <w:tcW w:w="5724" w:type="dxa"/>
            <w:tcBorders>
              <w:top w:val="nil"/>
              <w:left w:val="nil"/>
              <w:bottom w:val="nil"/>
              <w:right w:val="nil"/>
            </w:tcBorders>
            <w:shd w:val="clear" w:color="auto" w:fill="auto"/>
            <w:noWrap/>
            <w:vAlign w:val="bottom"/>
          </w:tcPr>
          <w:p w14:paraId="6D8E88EC" w14:textId="57FC90C8"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State-Owned Enterprise</w:t>
            </w:r>
          </w:p>
        </w:tc>
      </w:tr>
      <w:tr w:rsidR="00E23A09" w:rsidRPr="00E23A09" w14:paraId="5BE83103"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79343216"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UN</w:t>
            </w:r>
          </w:p>
        </w:tc>
        <w:tc>
          <w:tcPr>
            <w:tcW w:w="5724" w:type="dxa"/>
            <w:tcBorders>
              <w:top w:val="nil"/>
              <w:left w:val="nil"/>
              <w:bottom w:val="nil"/>
              <w:right w:val="nil"/>
            </w:tcBorders>
            <w:shd w:val="clear" w:color="auto" w:fill="auto"/>
            <w:noWrap/>
            <w:vAlign w:val="bottom"/>
            <w:hideMark/>
          </w:tcPr>
          <w:p w14:paraId="62727465"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United Nations</w:t>
            </w:r>
          </w:p>
        </w:tc>
      </w:tr>
      <w:tr w:rsidR="00E23A09" w:rsidRPr="00E23A09" w14:paraId="00CD0AF2"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75AD36A0"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UNCTAD</w:t>
            </w:r>
          </w:p>
        </w:tc>
        <w:tc>
          <w:tcPr>
            <w:tcW w:w="5724" w:type="dxa"/>
            <w:tcBorders>
              <w:top w:val="nil"/>
              <w:left w:val="nil"/>
              <w:bottom w:val="nil"/>
              <w:right w:val="nil"/>
            </w:tcBorders>
            <w:shd w:val="clear" w:color="auto" w:fill="auto"/>
            <w:noWrap/>
            <w:vAlign w:val="bottom"/>
            <w:hideMark/>
          </w:tcPr>
          <w:p w14:paraId="11157F9B"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United Nations Conference on Trade and Development</w:t>
            </w:r>
          </w:p>
        </w:tc>
      </w:tr>
      <w:tr w:rsidR="00E23A09" w:rsidRPr="00E23A09" w14:paraId="4FB6332C" w14:textId="77777777" w:rsidTr="00634609">
        <w:trPr>
          <w:trHeight w:val="255"/>
          <w:jc w:val="center"/>
        </w:trPr>
        <w:tc>
          <w:tcPr>
            <w:tcW w:w="1869" w:type="dxa"/>
            <w:tcBorders>
              <w:top w:val="nil"/>
              <w:left w:val="nil"/>
              <w:bottom w:val="nil"/>
              <w:right w:val="nil"/>
            </w:tcBorders>
            <w:shd w:val="clear" w:color="auto" w:fill="auto"/>
            <w:noWrap/>
            <w:vAlign w:val="bottom"/>
          </w:tcPr>
          <w:p w14:paraId="55298AC7" w14:textId="4D6CC96D" w:rsidR="00E23A09"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UNECE</w:t>
            </w:r>
          </w:p>
        </w:tc>
        <w:tc>
          <w:tcPr>
            <w:tcW w:w="5724" w:type="dxa"/>
            <w:tcBorders>
              <w:top w:val="nil"/>
              <w:left w:val="nil"/>
              <w:bottom w:val="nil"/>
              <w:right w:val="nil"/>
            </w:tcBorders>
            <w:shd w:val="clear" w:color="auto" w:fill="auto"/>
            <w:noWrap/>
            <w:vAlign w:val="bottom"/>
          </w:tcPr>
          <w:p w14:paraId="35BDDC38" w14:textId="017D4AE8"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 xml:space="preserve">United Nations </w:t>
            </w:r>
            <w:r w:rsidR="00786051" w:rsidRPr="00786051">
              <w:rPr>
                <w:rFonts w:eastAsia="Times New Roman" w:cs="Times New Roman"/>
                <w:color w:val="000000"/>
                <w:lang w:eastAsia="en-GB"/>
              </w:rPr>
              <w:t>Economic Commission for Europe</w:t>
            </w:r>
          </w:p>
        </w:tc>
      </w:tr>
      <w:tr w:rsidR="00E23A09" w:rsidRPr="00E23A09" w14:paraId="3A335EDA" w14:textId="77777777" w:rsidTr="00634609">
        <w:trPr>
          <w:trHeight w:val="255"/>
          <w:jc w:val="center"/>
        </w:trPr>
        <w:tc>
          <w:tcPr>
            <w:tcW w:w="1869" w:type="dxa"/>
            <w:tcBorders>
              <w:top w:val="nil"/>
              <w:left w:val="nil"/>
              <w:bottom w:val="nil"/>
              <w:right w:val="nil"/>
            </w:tcBorders>
            <w:shd w:val="clear" w:color="auto" w:fill="auto"/>
            <w:noWrap/>
            <w:vAlign w:val="bottom"/>
            <w:hideMark/>
          </w:tcPr>
          <w:p w14:paraId="1BD60F3B"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USD</w:t>
            </w:r>
          </w:p>
        </w:tc>
        <w:tc>
          <w:tcPr>
            <w:tcW w:w="5724" w:type="dxa"/>
            <w:tcBorders>
              <w:top w:val="nil"/>
              <w:left w:val="nil"/>
              <w:bottom w:val="nil"/>
              <w:right w:val="nil"/>
            </w:tcBorders>
            <w:shd w:val="clear" w:color="auto" w:fill="auto"/>
            <w:noWrap/>
            <w:vAlign w:val="bottom"/>
            <w:hideMark/>
          </w:tcPr>
          <w:p w14:paraId="7E1301A7" w14:textId="77777777" w:rsidR="00E23A09" w:rsidRPr="00E23A09" w:rsidRDefault="00E23A09" w:rsidP="00E23A09">
            <w:pPr>
              <w:spacing w:after="0"/>
              <w:jc w:val="left"/>
              <w:rPr>
                <w:rFonts w:eastAsia="Times New Roman" w:cs="Times New Roman"/>
                <w:color w:val="000000"/>
                <w:lang w:eastAsia="en-GB"/>
              </w:rPr>
            </w:pPr>
            <w:r w:rsidRPr="00E23A09">
              <w:rPr>
                <w:rFonts w:eastAsia="Times New Roman" w:cs="Times New Roman"/>
                <w:color w:val="000000"/>
                <w:lang w:eastAsia="en-GB"/>
              </w:rPr>
              <w:t>United States Dollars</w:t>
            </w:r>
          </w:p>
        </w:tc>
      </w:tr>
      <w:tr w:rsidR="00786051" w:rsidRPr="00E23A09" w14:paraId="41A83FA5" w14:textId="77777777" w:rsidTr="00634609">
        <w:trPr>
          <w:trHeight w:val="255"/>
          <w:jc w:val="center"/>
        </w:trPr>
        <w:tc>
          <w:tcPr>
            <w:tcW w:w="1869" w:type="dxa"/>
            <w:tcBorders>
              <w:top w:val="nil"/>
              <w:left w:val="nil"/>
              <w:bottom w:val="nil"/>
              <w:right w:val="nil"/>
            </w:tcBorders>
            <w:shd w:val="clear" w:color="auto" w:fill="auto"/>
            <w:noWrap/>
            <w:vAlign w:val="bottom"/>
          </w:tcPr>
          <w:p w14:paraId="245E1DEA" w14:textId="6FBB24A6"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VAT</w:t>
            </w:r>
          </w:p>
        </w:tc>
        <w:tc>
          <w:tcPr>
            <w:tcW w:w="5724" w:type="dxa"/>
            <w:tcBorders>
              <w:top w:val="nil"/>
              <w:left w:val="nil"/>
              <w:bottom w:val="nil"/>
              <w:right w:val="nil"/>
            </w:tcBorders>
            <w:shd w:val="clear" w:color="auto" w:fill="auto"/>
            <w:noWrap/>
            <w:vAlign w:val="bottom"/>
          </w:tcPr>
          <w:p w14:paraId="49AE6011" w14:textId="53A8B305" w:rsidR="00786051" w:rsidRPr="00E23A09" w:rsidRDefault="00786051" w:rsidP="00E23A09">
            <w:pPr>
              <w:spacing w:after="0"/>
              <w:jc w:val="left"/>
              <w:rPr>
                <w:rFonts w:eastAsia="Times New Roman" w:cs="Times New Roman"/>
                <w:color w:val="000000"/>
                <w:lang w:eastAsia="en-GB"/>
              </w:rPr>
            </w:pPr>
            <w:r>
              <w:rPr>
                <w:rFonts w:eastAsia="Times New Roman" w:cs="Times New Roman"/>
                <w:color w:val="000000"/>
                <w:lang w:eastAsia="en-GB"/>
              </w:rPr>
              <w:t>Value Added Tax</w:t>
            </w:r>
          </w:p>
        </w:tc>
      </w:tr>
    </w:tbl>
    <w:p w14:paraId="630CC3C1" w14:textId="77777777" w:rsidR="002C63C2" w:rsidRPr="002C63C2" w:rsidRDefault="002C63C2" w:rsidP="002C63C2">
      <w:pPr>
        <w:pStyle w:val="Para0"/>
      </w:pPr>
    </w:p>
    <w:p w14:paraId="10ABBB9B" w14:textId="02833522" w:rsidR="00524708" w:rsidRDefault="00147EFE" w:rsidP="004A6383">
      <w:pPr>
        <w:pStyle w:val="Title"/>
      </w:pPr>
      <w:bookmarkStart w:id="9" w:name="_Toc31983274"/>
      <w:bookmarkStart w:id="10" w:name="_Toc33443285"/>
      <w:bookmarkEnd w:id="6"/>
      <w:r>
        <w:lastRenderedPageBreak/>
        <w:t>Executive Summary</w:t>
      </w:r>
      <w:bookmarkEnd w:id="9"/>
      <w:bookmarkEnd w:id="10"/>
    </w:p>
    <w:p w14:paraId="622D0611" w14:textId="004B8CD4" w:rsidR="000C0F46" w:rsidRDefault="000C0F46" w:rsidP="000C0F46">
      <w:pPr>
        <w:pStyle w:val="Para0"/>
      </w:pPr>
      <w:r w:rsidRPr="00723B48">
        <w:rPr>
          <w:b/>
        </w:rPr>
        <w:t xml:space="preserve">FDI in </w:t>
      </w:r>
      <w:r w:rsidR="002947BB" w:rsidRPr="00723B48">
        <w:rPr>
          <w:b/>
        </w:rPr>
        <w:t xml:space="preserve">Eastern Partner </w:t>
      </w:r>
      <w:r w:rsidR="002B174F" w:rsidRPr="00723B48">
        <w:rPr>
          <w:b/>
        </w:rPr>
        <w:t xml:space="preserve">(EaP) </w:t>
      </w:r>
      <w:r w:rsidR="002947BB" w:rsidRPr="00723B48">
        <w:rPr>
          <w:b/>
        </w:rPr>
        <w:t>countries</w:t>
      </w:r>
      <w:r w:rsidRPr="00723B48">
        <w:rPr>
          <w:b/>
        </w:rPr>
        <w:t xml:space="preserve"> has grown considerably</w:t>
      </w:r>
      <w:r w:rsidR="002B174F" w:rsidRPr="00723B48">
        <w:rPr>
          <w:b/>
        </w:rPr>
        <w:t xml:space="preserve"> over the last two decades</w:t>
      </w:r>
      <w:r w:rsidRPr="00723B48">
        <w:rPr>
          <w:b/>
        </w:rPr>
        <w:t xml:space="preserve">, </w:t>
      </w:r>
      <w:r w:rsidR="00144954" w:rsidRPr="00723B48">
        <w:rPr>
          <w:b/>
        </w:rPr>
        <w:t>and is associated with greater innovation</w:t>
      </w:r>
      <w:r w:rsidR="001715D9" w:rsidRPr="00723B48">
        <w:rPr>
          <w:b/>
        </w:rPr>
        <w:t xml:space="preserve"> relative to domestic investment</w:t>
      </w:r>
      <w:r w:rsidR="00144954">
        <w:t xml:space="preserve">, </w:t>
      </w:r>
      <w:r>
        <w:t>but</w:t>
      </w:r>
      <w:r w:rsidR="00144954">
        <w:t xml:space="preserve"> it</w:t>
      </w:r>
      <w:r>
        <w:t xml:space="preserve"> remains below its potential in com</w:t>
      </w:r>
      <w:r w:rsidR="00E519C7">
        <w:t xml:space="preserve">parison to neighbouring regions, </w:t>
      </w:r>
      <w:r w:rsidR="00166BEB">
        <w:t xml:space="preserve">and will likely suffer as a result of the </w:t>
      </w:r>
      <w:r w:rsidR="006727DA">
        <w:t>coronavirus (</w:t>
      </w:r>
      <w:r w:rsidR="00166BEB">
        <w:t>COVID-19</w:t>
      </w:r>
      <w:r w:rsidR="006727DA">
        <w:t>)</w:t>
      </w:r>
      <w:r w:rsidR="00166BEB">
        <w:t xml:space="preserve"> pandemic and related economic disruptions. </w:t>
      </w:r>
      <w:r w:rsidR="00361E3F">
        <w:t xml:space="preserve">This report examines several </w:t>
      </w:r>
      <w:r w:rsidR="00D5636A">
        <w:t xml:space="preserve">policy </w:t>
      </w:r>
      <w:r w:rsidR="00361E3F">
        <w:t xml:space="preserve">dimensions that affect the investment climate of the six countries – FDI liberalisation, investment promotion and facilitation, investment tax incentives, and, responsible business conduct – and offers some recommendations </w:t>
      </w:r>
      <w:r w:rsidR="00D5636A">
        <w:t>on potential avenues toward</w:t>
      </w:r>
      <w:r w:rsidR="00351B76">
        <w:t>s</w:t>
      </w:r>
      <w:r w:rsidR="00D5636A">
        <w:t xml:space="preserve"> a </w:t>
      </w:r>
      <w:r w:rsidR="001715D9">
        <w:t xml:space="preserve">policy framework that is </w:t>
      </w:r>
      <w:r w:rsidR="00D5636A">
        <w:t>more</w:t>
      </w:r>
      <w:r w:rsidR="001715D9">
        <w:t xml:space="preserve"> attractive to investors and conducive to positive </w:t>
      </w:r>
      <w:r w:rsidR="00D5636A">
        <w:t xml:space="preserve">FDI </w:t>
      </w:r>
      <w:r w:rsidR="001715D9">
        <w:t>spillovers.</w:t>
      </w:r>
    </w:p>
    <w:p w14:paraId="744E94D6" w14:textId="100D5B31" w:rsidR="000C0F46" w:rsidRDefault="002B174F" w:rsidP="000C0F46">
      <w:pPr>
        <w:pStyle w:val="Para0"/>
        <w:tabs>
          <w:tab w:val="left" w:pos="2242"/>
        </w:tabs>
      </w:pPr>
      <w:r w:rsidRPr="00723B48">
        <w:rPr>
          <w:b/>
        </w:rPr>
        <w:t>EaP countries have made considerable strides in reducing regulatory barriers to FDI</w:t>
      </w:r>
      <w:r w:rsidR="00B66A1E">
        <w:t>, establishing legal frameworks for entry and establishment that are attractive to foreign investors</w:t>
      </w:r>
      <w:r w:rsidR="000C0F46">
        <w:t>. Access to</w:t>
      </w:r>
      <w:r w:rsidR="00351B76">
        <w:t>,</w:t>
      </w:r>
      <w:r w:rsidR="000C0F46">
        <w:t xml:space="preserve"> and clarity of</w:t>
      </w:r>
      <w:r w:rsidR="00351B76">
        <w:t>,</w:t>
      </w:r>
      <w:r w:rsidR="000C0F46">
        <w:t xml:space="preserve"> </w:t>
      </w:r>
      <w:r w:rsidR="000C0F46" w:rsidRPr="00FA3421">
        <w:t xml:space="preserve">laws and regulations </w:t>
      </w:r>
      <w:r w:rsidR="000C0F46">
        <w:t>that affect</w:t>
      </w:r>
      <w:r w:rsidR="000C0F46" w:rsidRPr="00FA3421">
        <w:t xml:space="preserve"> market access and treatment conditions applicable to </w:t>
      </w:r>
      <w:r w:rsidR="000C0F46">
        <w:t xml:space="preserve">foreign investors </w:t>
      </w:r>
      <w:r w:rsidR="00CD1415">
        <w:t>can be improved</w:t>
      </w:r>
      <w:r w:rsidR="000C0F46">
        <w:t xml:space="preserve">, and may </w:t>
      </w:r>
      <w:r w:rsidR="000C0F46" w:rsidRPr="00FA3421">
        <w:t xml:space="preserve">make the </w:t>
      </w:r>
      <w:r w:rsidR="000C0F46">
        <w:t xml:space="preserve">FDI </w:t>
      </w:r>
      <w:r w:rsidR="000C0F46" w:rsidRPr="00FA3421">
        <w:t>regime</w:t>
      </w:r>
      <w:r w:rsidR="000C0F46">
        <w:t>s of EaP countries</w:t>
      </w:r>
      <w:r w:rsidR="00AF749A">
        <w:t xml:space="preserve"> </w:t>
      </w:r>
      <w:r w:rsidR="00144954">
        <w:t>less</w:t>
      </w:r>
      <w:r w:rsidR="00144954" w:rsidRPr="00FA3421">
        <w:t xml:space="preserve"> </w:t>
      </w:r>
      <w:r w:rsidR="000C0F46" w:rsidRPr="00FA3421">
        <w:t xml:space="preserve">opaque </w:t>
      </w:r>
      <w:r w:rsidR="00144954">
        <w:t>to</w:t>
      </w:r>
      <w:r w:rsidR="00144954" w:rsidRPr="00FA3421">
        <w:t xml:space="preserve"> </w:t>
      </w:r>
      <w:r w:rsidR="000C0F46" w:rsidRPr="00FA3421">
        <w:t>potential investors.</w:t>
      </w:r>
    </w:p>
    <w:p w14:paraId="05B0D92C" w14:textId="15720885" w:rsidR="000C0F46" w:rsidRDefault="000C0F46" w:rsidP="000C0F46">
      <w:pPr>
        <w:pStyle w:val="Para0"/>
      </w:pPr>
      <w:r w:rsidRPr="00723B48">
        <w:rPr>
          <w:b/>
        </w:rPr>
        <w:t xml:space="preserve">The </w:t>
      </w:r>
      <w:r w:rsidR="000C4BEF" w:rsidRPr="00723B48">
        <w:rPr>
          <w:b/>
        </w:rPr>
        <w:t>investment promotion agencies (</w:t>
      </w:r>
      <w:r w:rsidRPr="00723B48">
        <w:rPr>
          <w:b/>
        </w:rPr>
        <w:t>IPAs</w:t>
      </w:r>
      <w:r w:rsidR="000C4BEF" w:rsidRPr="00723B48">
        <w:rPr>
          <w:b/>
        </w:rPr>
        <w:t>)</w:t>
      </w:r>
      <w:r w:rsidRPr="00723B48">
        <w:rPr>
          <w:b/>
        </w:rPr>
        <w:t xml:space="preserve"> of the region </w:t>
      </w:r>
      <w:r w:rsidR="00144954" w:rsidRPr="00723B48">
        <w:rPr>
          <w:b/>
        </w:rPr>
        <w:t>make use of a comprehensive set of tools</w:t>
      </w:r>
      <w:r w:rsidR="00BE38A3" w:rsidRPr="00723B48">
        <w:rPr>
          <w:b/>
        </w:rPr>
        <w:t xml:space="preserve"> to attract investors</w:t>
      </w:r>
      <w:r w:rsidR="00144954" w:rsidRPr="00723B48">
        <w:rPr>
          <w:b/>
        </w:rPr>
        <w:t>, and business facilitation has improved substantially.</w:t>
      </w:r>
      <w:r w:rsidR="00144954">
        <w:t xml:space="preserve"> Nevertheless, the IPAs tend to be</w:t>
      </w:r>
      <w:r>
        <w:t xml:space="preserve"> understaffed and subject to frequent institutional restructuring. Their </w:t>
      </w:r>
      <w:r w:rsidR="00351B76">
        <w:t xml:space="preserve">limited </w:t>
      </w:r>
      <w:r>
        <w:t>resources are stretched across numerous mandates spanning different policy areas</w:t>
      </w:r>
      <w:r w:rsidR="00BE38A3">
        <w:t>, and sometimes</w:t>
      </w:r>
      <w:r w:rsidR="00AF749A">
        <w:t xml:space="preserve"> combin</w:t>
      </w:r>
      <w:r w:rsidR="00BE38A3">
        <w:t>ing</w:t>
      </w:r>
      <w:r>
        <w:t xml:space="preserve"> policy-making and promotional functions, </w:t>
      </w:r>
      <w:r w:rsidR="00AF749A">
        <w:t>which</w:t>
      </w:r>
      <w:r>
        <w:t xml:space="preserve"> </w:t>
      </w:r>
      <w:r w:rsidR="00AF749A">
        <w:t>can lead to low</w:t>
      </w:r>
      <w:r w:rsidR="00BE38A3">
        <w:t>er</w:t>
      </w:r>
      <w:r>
        <w:t xml:space="preserve"> credibility and effectiveness. </w:t>
      </w:r>
      <w:r w:rsidR="00BE38A3">
        <w:t xml:space="preserve">All </w:t>
      </w:r>
      <w:r>
        <w:t>of the IPAs</w:t>
      </w:r>
      <w:r w:rsidR="00E331A4">
        <w:t xml:space="preserve"> in the region</w:t>
      </w:r>
      <w:r>
        <w:t xml:space="preserve"> have </w:t>
      </w:r>
      <w:r w:rsidR="00BE38A3">
        <w:t xml:space="preserve">yet to put in place </w:t>
      </w:r>
      <w:r>
        <w:t>adequate monitoring and evaluation mechanisms.</w:t>
      </w:r>
    </w:p>
    <w:p w14:paraId="6C88112C" w14:textId="64A1611F" w:rsidR="000C0F46" w:rsidRDefault="00DB449F" w:rsidP="000C0F46">
      <w:pPr>
        <w:pStyle w:val="Para0"/>
      </w:pPr>
      <w:r w:rsidRPr="00723B48">
        <w:rPr>
          <w:b/>
        </w:rPr>
        <w:t xml:space="preserve">Statutory corporate income tax rates have declined considerably </w:t>
      </w:r>
      <w:r w:rsidR="00355526">
        <w:rPr>
          <w:b/>
        </w:rPr>
        <w:t xml:space="preserve">and tax administration has improved </w:t>
      </w:r>
      <w:r w:rsidR="00351B76">
        <w:rPr>
          <w:b/>
        </w:rPr>
        <w:t>greatly</w:t>
      </w:r>
      <w:r w:rsidRPr="00723B48">
        <w:rPr>
          <w:b/>
        </w:rPr>
        <w:t xml:space="preserve">. </w:t>
      </w:r>
      <w:r w:rsidR="000C0F46">
        <w:t>On top of already low CIT</w:t>
      </w:r>
      <w:r w:rsidR="00830777">
        <w:t xml:space="preserve"> rates</w:t>
      </w:r>
      <w:r w:rsidR="000C0F46">
        <w:t xml:space="preserve">, EaP countries tend to offer a generous package of fiscal incentives in the form of </w:t>
      </w:r>
      <w:r w:rsidR="00351B76">
        <w:t xml:space="preserve">reduced </w:t>
      </w:r>
      <w:r w:rsidR="000C0F46">
        <w:t xml:space="preserve">CIT rates for qualifying </w:t>
      </w:r>
      <w:r w:rsidR="0014038E">
        <w:t>investments</w:t>
      </w:r>
      <w:r w:rsidR="000C0F46">
        <w:t xml:space="preserve">. </w:t>
      </w:r>
      <w:r w:rsidR="00830777">
        <w:t xml:space="preserve">While fiscal </w:t>
      </w:r>
      <w:r w:rsidR="00830777" w:rsidRPr="008B2CF9">
        <w:t>incentives are a commonly used tool</w:t>
      </w:r>
      <w:r w:rsidR="00830777">
        <w:t xml:space="preserve"> to</w:t>
      </w:r>
      <w:r w:rsidR="00830777" w:rsidRPr="008B2CF9">
        <w:t xml:space="preserve"> </w:t>
      </w:r>
      <w:r w:rsidR="00830777">
        <w:t xml:space="preserve">attract investments, they strain public finances and risk subsidising investments that would have materialised without them. </w:t>
      </w:r>
      <w:r w:rsidR="00B848E3">
        <w:t>Special economic zone (</w:t>
      </w:r>
      <w:r w:rsidR="000C0F46">
        <w:t>SEZ</w:t>
      </w:r>
      <w:r w:rsidR="00B848E3">
        <w:t>)</w:t>
      </w:r>
      <w:r w:rsidR="000C0F46">
        <w:t xml:space="preserve"> regimes </w:t>
      </w:r>
      <w:r w:rsidR="0014038E">
        <w:t>in the region</w:t>
      </w:r>
      <w:r w:rsidR="000C0F46">
        <w:t xml:space="preserve"> offer </w:t>
      </w:r>
      <w:r w:rsidR="00263CAB">
        <w:t>even greater tax breaks</w:t>
      </w:r>
      <w:r w:rsidR="0014038E">
        <w:t xml:space="preserve">, including permanent CIT exemptions or reductions, which </w:t>
      </w:r>
      <w:r w:rsidR="00C50AD3">
        <w:t xml:space="preserve">harm </w:t>
      </w:r>
      <w:r w:rsidR="0014038E">
        <w:t xml:space="preserve">non-zone investors and </w:t>
      </w:r>
      <w:r w:rsidR="00BE38A3">
        <w:t xml:space="preserve">can </w:t>
      </w:r>
      <w:r w:rsidR="000C0F46">
        <w:t xml:space="preserve">result in huge losses in government revenue. A less distortionary approach </w:t>
      </w:r>
      <w:r w:rsidR="009103AF">
        <w:t>is</w:t>
      </w:r>
      <w:r w:rsidR="000C0F46">
        <w:t xml:space="preserve"> to limit CIT exemptions to a pre-defined period</w:t>
      </w:r>
      <w:r w:rsidR="00057C83">
        <w:t xml:space="preserve"> of time</w:t>
      </w:r>
      <w:r w:rsidR="000C0F46">
        <w:t xml:space="preserve"> and phase out reduced tax rates </w:t>
      </w:r>
      <w:r w:rsidR="009103AF">
        <w:t xml:space="preserve">that overly </w:t>
      </w:r>
      <w:r w:rsidR="000C0F46">
        <w:t>complicate the tax system (as is the case in Azerbaijan), or phase out zone-specific CIT holidays altogether (as is the case in Ukraine).</w:t>
      </w:r>
    </w:p>
    <w:p w14:paraId="329AC5FA" w14:textId="68C96936" w:rsidR="000C0F46" w:rsidRPr="00115748" w:rsidRDefault="0014038E" w:rsidP="000C0F46">
      <w:pPr>
        <w:pStyle w:val="Para0"/>
        <w:rPr>
          <w:rFonts w:eastAsia="SimSun"/>
          <w:color w:val="000000" w:themeColor="text1"/>
        </w:rPr>
      </w:pPr>
      <w:r w:rsidRPr="00723B48">
        <w:rPr>
          <w:b/>
        </w:rPr>
        <w:t>EaP countries have all made steps to establish and implement a regulatory and institutional framework that underpins responsible business conduct (RBC).</w:t>
      </w:r>
      <w:r>
        <w:t xml:space="preserve"> More efforts are needed in all countries to strengthen this framework and to ensure implementation and enforcement of relevant laws and commitments. Awareness of RBC principles and standards is not yet widespread</w:t>
      </w:r>
      <w:r w:rsidR="000C0F46">
        <w:t xml:space="preserve"> in most EaP</w:t>
      </w:r>
      <w:r w:rsidR="000C0F46" w:rsidRPr="007F7E50">
        <w:t xml:space="preserve"> countries</w:t>
      </w:r>
      <w:r w:rsidR="0007109E">
        <w:t>.</w:t>
      </w:r>
      <w:r w:rsidR="000C0F46">
        <w:t xml:space="preserve"> Governments in the region have yet to </w:t>
      </w:r>
      <w:r w:rsidR="000C0F46" w:rsidRPr="00B02901">
        <w:t>communicat</w:t>
      </w:r>
      <w:r w:rsidR="000C0F46">
        <w:t xml:space="preserve">e </w:t>
      </w:r>
      <w:r w:rsidR="000C0F46" w:rsidRPr="00B02901">
        <w:t xml:space="preserve">the RBC policies </w:t>
      </w:r>
      <w:r w:rsidR="000C0F46">
        <w:t>they apply to public procurement and c</w:t>
      </w:r>
      <w:r w:rsidR="000C0F46" w:rsidRPr="00B02901">
        <w:t xml:space="preserve">orporate </w:t>
      </w:r>
      <w:r w:rsidR="000C0F46">
        <w:t>g</w:t>
      </w:r>
      <w:r w:rsidR="000C0F46" w:rsidRPr="00B02901">
        <w:t>over</w:t>
      </w:r>
      <w:r w:rsidR="00F83991">
        <w:t xml:space="preserve">nance of </w:t>
      </w:r>
      <w:r w:rsidR="00B848E3">
        <w:t>state-owned enterprises (</w:t>
      </w:r>
      <w:r w:rsidR="00F83991">
        <w:t>SOEs</w:t>
      </w:r>
      <w:r w:rsidR="00B848E3">
        <w:t>)</w:t>
      </w:r>
      <w:r w:rsidR="000C0F46">
        <w:rPr>
          <w:color w:val="000000" w:themeColor="text1"/>
        </w:rPr>
        <w:t>.</w:t>
      </w:r>
      <w:r w:rsidR="0007109E">
        <w:rPr>
          <w:color w:val="000000" w:themeColor="text1"/>
        </w:rPr>
        <w:t xml:space="preserve"> </w:t>
      </w:r>
      <w:r w:rsidR="00B848E3">
        <w:rPr>
          <w:color w:val="000000" w:themeColor="text1"/>
        </w:rPr>
        <w:t>Non-governmental organisations (</w:t>
      </w:r>
      <w:r w:rsidR="000C0F46" w:rsidRPr="00115748">
        <w:t>NGOs</w:t>
      </w:r>
      <w:r w:rsidR="00B848E3">
        <w:t>)</w:t>
      </w:r>
      <w:r w:rsidR="000C0F46" w:rsidRPr="00115748">
        <w:t xml:space="preserve"> in </w:t>
      </w:r>
      <w:r w:rsidR="000C0F46">
        <w:t>the region</w:t>
      </w:r>
      <w:r w:rsidR="000C0F46" w:rsidRPr="00115748">
        <w:t xml:space="preserve"> </w:t>
      </w:r>
      <w:r w:rsidR="000C0F46">
        <w:t>are concerned</w:t>
      </w:r>
      <w:r w:rsidR="000C0F46" w:rsidRPr="00115748">
        <w:t xml:space="preserve"> </w:t>
      </w:r>
      <w:r w:rsidR="000C0F46">
        <w:t>about</w:t>
      </w:r>
      <w:r w:rsidR="000C0F46" w:rsidRPr="00115748">
        <w:t xml:space="preserve"> the </w:t>
      </w:r>
      <w:r w:rsidR="000C0F46">
        <w:t>human, social and environmental impacts</w:t>
      </w:r>
      <w:r w:rsidR="000C0F46" w:rsidRPr="00115748">
        <w:t xml:space="preserve"> of extractive</w:t>
      </w:r>
      <w:r w:rsidR="000C0F46">
        <w:t>, chemical</w:t>
      </w:r>
      <w:r w:rsidR="000C0F46" w:rsidRPr="00115748">
        <w:t xml:space="preserve"> and agri</w:t>
      </w:r>
      <w:r w:rsidR="000C0F46">
        <w:t xml:space="preserve">cultural industries. </w:t>
      </w:r>
      <w:r w:rsidR="000C0F46" w:rsidRPr="00115748">
        <w:rPr>
          <w:color w:val="000000" w:themeColor="text1"/>
          <w:spacing w:val="-4"/>
          <w:shd w:val="clear" w:color="auto" w:fill="FFFFFF"/>
        </w:rPr>
        <w:t>Trade unions have reporte</w:t>
      </w:r>
      <w:r w:rsidR="000C0F46">
        <w:rPr>
          <w:color w:val="000000" w:themeColor="text1"/>
          <w:spacing w:val="-4"/>
          <w:shd w:val="clear" w:color="auto" w:fill="FFFFFF"/>
        </w:rPr>
        <w:t xml:space="preserve">d barriers </w:t>
      </w:r>
      <w:r w:rsidR="000C0F46" w:rsidRPr="00115748">
        <w:rPr>
          <w:color w:val="000000" w:themeColor="text1"/>
          <w:spacing w:val="-4"/>
          <w:shd w:val="clear" w:color="auto" w:fill="FFFFFF"/>
        </w:rPr>
        <w:t>to colle</w:t>
      </w:r>
      <w:r w:rsidR="000C0F46" w:rsidRPr="00115748">
        <w:t xml:space="preserve">ctive bargaining and </w:t>
      </w:r>
      <w:r w:rsidR="0007109E">
        <w:t>discrimination against unionised workers</w:t>
      </w:r>
      <w:r w:rsidR="000C0F46" w:rsidRPr="00115748">
        <w:rPr>
          <w:shd w:val="clear" w:color="auto" w:fill="FFFFFF"/>
        </w:rPr>
        <w:t>.</w:t>
      </w:r>
      <w:r w:rsidR="000C0F46">
        <w:rPr>
          <w:shd w:val="clear" w:color="auto" w:fill="FFFFFF"/>
        </w:rPr>
        <w:t xml:space="preserve"> </w:t>
      </w:r>
      <w:r w:rsidR="000C0F46" w:rsidRPr="00115748">
        <w:t xml:space="preserve">The significant gender gap </w:t>
      </w:r>
      <w:r w:rsidR="000C0F46">
        <w:t>i</w:t>
      </w:r>
      <w:r w:rsidR="000C0F46" w:rsidRPr="00115748">
        <w:t xml:space="preserve">n the </w:t>
      </w:r>
      <w:r w:rsidR="000C0F46">
        <w:t xml:space="preserve">labour </w:t>
      </w:r>
      <w:r w:rsidR="000C0F46" w:rsidRPr="00115748">
        <w:t xml:space="preserve">market </w:t>
      </w:r>
      <w:r w:rsidR="0057151B">
        <w:t>is a missed opportunity</w:t>
      </w:r>
      <w:r w:rsidR="00400685">
        <w:t>.</w:t>
      </w:r>
      <w:r w:rsidR="00F83991">
        <w:t xml:space="preserve"> </w:t>
      </w:r>
      <w:r w:rsidR="00400685">
        <w:t>Despite ongoing reforms to combat corruption, it remains one of the top</w:t>
      </w:r>
      <w:r w:rsidR="00F83991">
        <w:t xml:space="preserve"> barrier</w:t>
      </w:r>
      <w:r w:rsidR="00400685">
        <w:t>s</w:t>
      </w:r>
      <w:r w:rsidR="00F83991">
        <w:t xml:space="preserve"> to </w:t>
      </w:r>
      <w:r w:rsidR="00400685">
        <w:t xml:space="preserve">doing </w:t>
      </w:r>
      <w:r w:rsidR="00F83991">
        <w:t>business</w:t>
      </w:r>
      <w:r w:rsidR="000C0F46" w:rsidRPr="00115748">
        <w:rPr>
          <w:rFonts w:eastAsia="SimSun"/>
          <w:color w:val="000000" w:themeColor="text1"/>
        </w:rPr>
        <w:t>.</w:t>
      </w:r>
    </w:p>
    <w:p w14:paraId="76A9E447" w14:textId="77777777" w:rsidR="000C0F46" w:rsidRDefault="000C0F46" w:rsidP="000C0F46">
      <w:pPr>
        <w:pStyle w:val="Heading3"/>
      </w:pPr>
      <w:r>
        <w:lastRenderedPageBreak/>
        <w:t>Key recommendations</w:t>
      </w:r>
    </w:p>
    <w:p w14:paraId="0EA8A281" w14:textId="6B7B3A67" w:rsidR="00450908" w:rsidRDefault="00450908" w:rsidP="00502359">
      <w:pPr>
        <w:pStyle w:val="Para0"/>
        <w:numPr>
          <w:ilvl w:val="0"/>
          <w:numId w:val="42"/>
        </w:numPr>
      </w:pPr>
      <w:r w:rsidRPr="00723B48">
        <w:rPr>
          <w:b/>
        </w:rPr>
        <w:t>Consider improving the legibility of the legal framework for foreign investors</w:t>
      </w:r>
      <w:r>
        <w:t>, for instance by establishing</w:t>
      </w:r>
      <w:r w:rsidRPr="00FA3421">
        <w:t xml:space="preserve"> a foreign investment negative list clearly delimiting the sectors where foreign investment is prohibited or conditioned</w:t>
      </w:r>
      <w:r>
        <w:t>,</w:t>
      </w:r>
      <w:r w:rsidRPr="00FA3421">
        <w:t xml:space="preserve"> and outlining which discriminatory conditions apply</w:t>
      </w:r>
      <w:r>
        <w:t xml:space="preserve"> (as is already the case in Ukraine). Translating relevant legislation to English and making it available in existing centralised official online sources would greatly improve clarity and transparency with respect to EaP countries’ FDI regimes.</w:t>
      </w:r>
    </w:p>
    <w:p w14:paraId="6CE380F8" w14:textId="32CA1C33" w:rsidR="00502359" w:rsidRDefault="003730C9" w:rsidP="00502359">
      <w:pPr>
        <w:pStyle w:val="Para0"/>
        <w:numPr>
          <w:ilvl w:val="0"/>
          <w:numId w:val="42"/>
        </w:numPr>
      </w:pPr>
      <w:r w:rsidRPr="00723B48">
        <w:rPr>
          <w:b/>
        </w:rPr>
        <w:t>G</w:t>
      </w:r>
      <w:r w:rsidR="000C0F46" w:rsidRPr="00723B48">
        <w:rPr>
          <w:b/>
        </w:rPr>
        <w:t>ive IPAs resources and capacity that are commensurate to their mandates and adequate to conduct key investment promot</w:t>
      </w:r>
      <w:r w:rsidR="00502359" w:rsidRPr="00723B48">
        <w:rPr>
          <w:b/>
        </w:rPr>
        <w:t>ion and facilitation functions.</w:t>
      </w:r>
      <w:r w:rsidR="000C0F46">
        <w:t xml:space="preserve"> </w:t>
      </w:r>
      <w:r>
        <w:t>Minimise i</w:t>
      </w:r>
      <w:r w:rsidR="000C0F46">
        <w:t>nstitutional reorganisations</w:t>
      </w:r>
      <w:r>
        <w:t>.</w:t>
      </w:r>
      <w:r w:rsidR="00502359">
        <w:t xml:space="preserve"> </w:t>
      </w:r>
      <w:r>
        <w:t xml:space="preserve">Clearly spell out </w:t>
      </w:r>
      <w:r w:rsidR="00502359">
        <w:t>IPA</w:t>
      </w:r>
      <w:r w:rsidR="000C0F46">
        <w:t xml:space="preserve"> mandates, activities, targets and KPIs in a clear and specific investment promotion strategy, in line with national development objectives.</w:t>
      </w:r>
      <w:r w:rsidR="00502359">
        <w:t xml:space="preserve"> </w:t>
      </w:r>
      <w:r>
        <w:t>P</w:t>
      </w:r>
      <w:r w:rsidR="00502359">
        <w:t>ut in place</w:t>
      </w:r>
      <w:r>
        <w:t xml:space="preserve"> a system</w:t>
      </w:r>
      <w:r w:rsidR="00502359">
        <w:t xml:space="preserve"> to track IPA activities and improve monitoring and effectiveness of investment promotion and facilitation efforts.</w:t>
      </w:r>
    </w:p>
    <w:p w14:paraId="08E90279" w14:textId="5DB4179F" w:rsidR="00502359" w:rsidRDefault="003730C9" w:rsidP="00502359">
      <w:pPr>
        <w:pStyle w:val="Para0"/>
        <w:numPr>
          <w:ilvl w:val="0"/>
          <w:numId w:val="42"/>
        </w:numPr>
      </w:pPr>
      <w:r w:rsidRPr="00723B48">
        <w:rPr>
          <w:b/>
        </w:rPr>
        <w:t>C</w:t>
      </w:r>
      <w:r w:rsidR="00502359" w:rsidRPr="00723B48">
        <w:rPr>
          <w:b/>
        </w:rPr>
        <w:t xml:space="preserve">onsider creating a dedicated board to supervise </w:t>
      </w:r>
      <w:r w:rsidR="008D6FA3" w:rsidRPr="00723B48">
        <w:rPr>
          <w:b/>
        </w:rPr>
        <w:t xml:space="preserve">or advise </w:t>
      </w:r>
      <w:r w:rsidR="00502359" w:rsidRPr="00723B48">
        <w:rPr>
          <w:b/>
        </w:rPr>
        <w:t xml:space="preserve">the activities of IPAs </w:t>
      </w:r>
      <w:r w:rsidR="00502359">
        <w:t xml:space="preserve">(as is the case in Ukraine), composed of representatives from government, private sector, academia, and civil society. </w:t>
      </w:r>
      <w:r w:rsidR="00502359" w:rsidRPr="00E54C32">
        <w:t>Ukraine</w:t>
      </w:r>
      <w:r w:rsidR="00502359">
        <w:t xml:space="preserve"> should </w:t>
      </w:r>
      <w:r>
        <w:t xml:space="preserve">consider </w:t>
      </w:r>
      <w:r w:rsidR="00502359">
        <w:t>expand</w:t>
      </w:r>
      <w:r>
        <w:t>ing</w:t>
      </w:r>
      <w:r w:rsidR="00502359">
        <w:t xml:space="preserve"> its existing board’s membership to</w:t>
      </w:r>
      <w:r w:rsidR="009F0BAC">
        <w:t xml:space="preserve"> </w:t>
      </w:r>
      <w:r>
        <w:t xml:space="preserve">include </w:t>
      </w:r>
      <w:r w:rsidR="00502359">
        <w:t>private sector</w:t>
      </w:r>
      <w:r w:rsidR="003F0E82">
        <w:t xml:space="preserve"> representatives</w:t>
      </w:r>
      <w:r w:rsidR="00502359">
        <w:t>.</w:t>
      </w:r>
    </w:p>
    <w:p w14:paraId="1BC5DA48" w14:textId="09D812A8" w:rsidR="000C0F46" w:rsidRDefault="00450908" w:rsidP="00502359">
      <w:pPr>
        <w:pStyle w:val="Para0"/>
        <w:numPr>
          <w:ilvl w:val="0"/>
          <w:numId w:val="42"/>
        </w:numPr>
      </w:pPr>
      <w:r w:rsidRPr="00723B48">
        <w:rPr>
          <w:b/>
        </w:rPr>
        <w:t>Cut unnecessary procedures and requirements to start a business</w:t>
      </w:r>
      <w:r>
        <w:t>, digitise procedures where possible</w:t>
      </w:r>
      <w:r w:rsidR="000C0F46">
        <w:t xml:space="preserve">, and </w:t>
      </w:r>
      <w:r w:rsidR="003730C9">
        <w:t xml:space="preserve">continue efforts to </w:t>
      </w:r>
      <w:r w:rsidR="000C0F46">
        <w:t>reduc</w:t>
      </w:r>
      <w:r w:rsidR="003730C9">
        <w:t>e</w:t>
      </w:r>
      <w:r w:rsidR="000C0F46">
        <w:t xml:space="preserve"> the time required to start a business</w:t>
      </w:r>
      <w:r w:rsidR="003730C9">
        <w:t xml:space="preserve"> in Belarus and Ukraine</w:t>
      </w:r>
      <w:r w:rsidR="000C0F46">
        <w:t>.</w:t>
      </w:r>
    </w:p>
    <w:p w14:paraId="1053CEBB" w14:textId="7F2E5540" w:rsidR="000C0F46" w:rsidRPr="009E3656" w:rsidRDefault="00000C2C" w:rsidP="000C0F46">
      <w:pPr>
        <w:pStyle w:val="BulletedList"/>
      </w:pPr>
      <w:r w:rsidRPr="00723B48">
        <w:rPr>
          <w:b/>
        </w:rPr>
        <w:t>C</w:t>
      </w:r>
      <w:r w:rsidR="000C0F46" w:rsidRPr="00723B48">
        <w:rPr>
          <w:b/>
        </w:rPr>
        <w:t xml:space="preserve">onduct </w:t>
      </w:r>
      <w:r w:rsidR="00351B76">
        <w:rPr>
          <w:b/>
        </w:rPr>
        <w:t xml:space="preserve">rigorous </w:t>
      </w:r>
      <w:r w:rsidR="000C0F46" w:rsidRPr="00723B48">
        <w:rPr>
          <w:b/>
        </w:rPr>
        <w:t>cost-benefit analys</w:t>
      </w:r>
      <w:r w:rsidR="0056147C" w:rsidRPr="00723B48">
        <w:rPr>
          <w:b/>
        </w:rPr>
        <w:t>e</w:t>
      </w:r>
      <w:r w:rsidR="000C0F46" w:rsidRPr="00723B48">
        <w:rPr>
          <w:b/>
        </w:rPr>
        <w:t>s of existing incentive schemes</w:t>
      </w:r>
      <w:r w:rsidR="000C0F46" w:rsidRPr="009E3656">
        <w:t>. This involves linking incentives to policy objectives and evaluating whether realised investment</w:t>
      </w:r>
      <w:r w:rsidR="0056147C">
        <w:t>s outweigh the economic costs of the incentive regimes</w:t>
      </w:r>
      <w:r w:rsidR="003F0E82">
        <w:t>, and meet set targets</w:t>
      </w:r>
      <w:r w:rsidR="0056147C">
        <w:t>.</w:t>
      </w:r>
      <w:r w:rsidR="000C0F46" w:rsidRPr="009E3656">
        <w:t xml:space="preserve"> Information on incentives should be centralised, </w:t>
      </w:r>
      <w:r w:rsidR="009F0BAC">
        <w:t>easily accessible</w:t>
      </w:r>
      <w:r w:rsidR="001B411A">
        <w:t>,</w:t>
      </w:r>
      <w:r w:rsidR="009F0BAC">
        <w:t xml:space="preserve"> </w:t>
      </w:r>
      <w:r w:rsidR="000C0F46" w:rsidRPr="009E3656">
        <w:t xml:space="preserve">and potentially consolidated into a </w:t>
      </w:r>
      <w:r w:rsidR="009D6DF9">
        <w:t>tax code</w:t>
      </w:r>
      <w:r w:rsidR="000C0F46" w:rsidRPr="009E3656">
        <w:t>, to increase transparency for investors.</w:t>
      </w:r>
    </w:p>
    <w:p w14:paraId="3C423DEA" w14:textId="1C2E4D7F" w:rsidR="000C0F46" w:rsidRDefault="00450908" w:rsidP="00CE3789">
      <w:pPr>
        <w:pStyle w:val="BulletedList"/>
      </w:pPr>
      <w:r w:rsidRPr="00723B48">
        <w:rPr>
          <w:b/>
        </w:rPr>
        <w:t>Eliminate excessive fiscal advantage</w:t>
      </w:r>
      <w:r w:rsidR="00351B76">
        <w:rPr>
          <w:b/>
        </w:rPr>
        <w:t>s</w:t>
      </w:r>
      <w:r w:rsidRPr="00723B48">
        <w:rPr>
          <w:b/>
        </w:rPr>
        <w:t xml:space="preserve"> offered to zone investors relative to inland investors</w:t>
      </w:r>
      <w:r>
        <w:t xml:space="preserve">, for instance by </w:t>
      </w:r>
      <w:r w:rsidR="00E150CA">
        <w:t>limiting</w:t>
      </w:r>
      <w:r>
        <w:t xml:space="preserve"> existing </w:t>
      </w:r>
      <w:r w:rsidR="000C0F46" w:rsidRPr="009E3656">
        <w:t xml:space="preserve">permanent CIT exemptions </w:t>
      </w:r>
      <w:r w:rsidR="001733D4">
        <w:t>(</w:t>
      </w:r>
      <w:r w:rsidR="001733D4" w:rsidRPr="009E3656">
        <w:t>Armenia, Belarus and Georgia</w:t>
      </w:r>
      <w:r w:rsidR="001733D4">
        <w:t>)</w:t>
      </w:r>
      <w:r w:rsidR="000C0F46" w:rsidRPr="009E3656">
        <w:t xml:space="preserve"> and </w:t>
      </w:r>
      <w:r w:rsidR="005B0893">
        <w:t>reductions (</w:t>
      </w:r>
      <w:r w:rsidR="000C0F46" w:rsidRPr="009E3656">
        <w:t>Moldova</w:t>
      </w:r>
      <w:r w:rsidR="005B0893">
        <w:t>)</w:t>
      </w:r>
      <w:r w:rsidR="000C0F46" w:rsidRPr="009E3656">
        <w:t xml:space="preserve"> available to </w:t>
      </w:r>
      <w:r w:rsidR="005B0893">
        <w:t xml:space="preserve">free zone </w:t>
      </w:r>
      <w:r w:rsidR="000C0F46" w:rsidRPr="009E3656">
        <w:t xml:space="preserve">investors </w:t>
      </w:r>
      <w:r w:rsidR="00E150CA">
        <w:t>to a predefined time horizon</w:t>
      </w:r>
      <w:r>
        <w:t>. This will also help</w:t>
      </w:r>
      <w:r w:rsidR="000C0F46" w:rsidRPr="009E3656">
        <w:t xml:space="preserve"> curb government revenue losses</w:t>
      </w:r>
      <w:r w:rsidR="005B0893">
        <w:t xml:space="preserve"> and simplify the overall incentive regimes.</w:t>
      </w:r>
      <w:r w:rsidR="00E0186F">
        <w:t xml:space="preserve"> </w:t>
      </w:r>
      <w:r w:rsidR="000C0F46" w:rsidRPr="009E3656">
        <w:t xml:space="preserve">All EaP countries should consider moving towards cost-based incentives, like </w:t>
      </w:r>
      <w:r w:rsidR="00263CAB">
        <w:t xml:space="preserve">tax </w:t>
      </w:r>
      <w:r w:rsidR="000C0F46" w:rsidRPr="009E3656">
        <w:t>deductions and credits for specific activities or accelerated depreciation</w:t>
      </w:r>
      <w:r w:rsidR="005B0893">
        <w:t xml:space="preserve"> of assets</w:t>
      </w:r>
      <w:r w:rsidR="000C0F46" w:rsidRPr="009E3656">
        <w:t xml:space="preserve">, which </w:t>
      </w:r>
      <w:r w:rsidR="00E519C7">
        <w:t>are less distortionary</w:t>
      </w:r>
      <w:r w:rsidR="000C0F46" w:rsidRPr="009E3656">
        <w:t>, and are likely to have a greater impact on investment generation.</w:t>
      </w:r>
    </w:p>
    <w:p w14:paraId="28A7ADFD" w14:textId="12A62052" w:rsidR="002D332F" w:rsidRDefault="00A479A2" w:rsidP="00B848E3">
      <w:pPr>
        <w:pStyle w:val="Para0"/>
        <w:numPr>
          <w:ilvl w:val="0"/>
          <w:numId w:val="43"/>
        </w:numPr>
      </w:pPr>
      <w:r w:rsidRPr="00723B48">
        <w:rPr>
          <w:b/>
        </w:rPr>
        <w:t>C</w:t>
      </w:r>
      <w:r w:rsidR="002D332F" w:rsidRPr="00723B48">
        <w:rPr>
          <w:b/>
        </w:rPr>
        <w:t xml:space="preserve">learly communicate </w:t>
      </w:r>
      <w:r w:rsidRPr="00723B48">
        <w:rPr>
          <w:b/>
        </w:rPr>
        <w:t xml:space="preserve">government </w:t>
      </w:r>
      <w:r w:rsidR="002D332F" w:rsidRPr="00723B48">
        <w:rPr>
          <w:b/>
        </w:rPr>
        <w:t>expectations that all businesses under their jurisdictions respect RBC standards</w:t>
      </w:r>
      <w:r w:rsidRPr="00723B48">
        <w:rPr>
          <w:b/>
        </w:rPr>
        <w:t>.</w:t>
      </w:r>
      <w:r w:rsidR="002D332F">
        <w:t xml:space="preserve"> </w:t>
      </w:r>
      <w:r w:rsidR="00385535">
        <w:t>Consider developing</w:t>
      </w:r>
      <w:r w:rsidR="00F94A3C">
        <w:t xml:space="preserve"> a National Action Plan on RBC, in cooperation with relevant stakeholders and in line with international good practice, to ensure policy coherence and alignment on RBC among government institutions. </w:t>
      </w:r>
      <w:r>
        <w:t>E</w:t>
      </w:r>
      <w:r w:rsidR="002D332F">
        <w:t>ngage in awareness-raising and capacity-building activities</w:t>
      </w:r>
      <w:r>
        <w:t>,</w:t>
      </w:r>
      <w:r w:rsidR="002D332F">
        <w:t xml:space="preserve"> and consider developing sector-specific guidance for businesses that operate in </w:t>
      </w:r>
      <w:r>
        <w:t>high-risk</w:t>
      </w:r>
      <w:r w:rsidR="00F94A3C">
        <w:t xml:space="preserve"> </w:t>
      </w:r>
      <w:r w:rsidR="002D332F">
        <w:t xml:space="preserve">sectors </w:t>
      </w:r>
      <w:r w:rsidR="00F94A3C">
        <w:t>(i.e. mining, oil and gas, chemicals</w:t>
      </w:r>
      <w:r w:rsidR="0083764F">
        <w:t>,</w:t>
      </w:r>
      <w:r w:rsidR="00F94A3C">
        <w:t xml:space="preserve"> </w:t>
      </w:r>
      <w:r w:rsidR="0083764F">
        <w:t xml:space="preserve">and </w:t>
      </w:r>
      <w:r w:rsidR="00F94A3C">
        <w:t>agriculture)</w:t>
      </w:r>
      <w:r w:rsidR="002D332F">
        <w:t xml:space="preserve">. </w:t>
      </w:r>
      <w:r w:rsidR="0086368E" w:rsidRPr="00F94A3C">
        <w:rPr>
          <w:color w:val="000000" w:themeColor="text1"/>
        </w:rPr>
        <w:t xml:space="preserve">Ensure </w:t>
      </w:r>
      <w:r w:rsidR="00F94A3C">
        <w:rPr>
          <w:color w:val="000000" w:themeColor="text1"/>
        </w:rPr>
        <w:t xml:space="preserve">systematic implementation of </w:t>
      </w:r>
      <w:r w:rsidR="0086368E" w:rsidRPr="00F94A3C">
        <w:rPr>
          <w:color w:val="000000" w:themeColor="text1"/>
        </w:rPr>
        <w:t>free and meaningful consultations with potentially affected stakeholders,</w:t>
      </w:r>
      <w:r w:rsidR="002D332F" w:rsidRPr="00F94A3C">
        <w:rPr>
          <w:color w:val="000000" w:themeColor="text1"/>
        </w:rPr>
        <w:t xml:space="preserve"> as </w:t>
      </w:r>
      <w:r w:rsidR="0086368E" w:rsidRPr="00F94A3C">
        <w:rPr>
          <w:color w:val="000000" w:themeColor="text1"/>
        </w:rPr>
        <w:t>well as environmental and huma</w:t>
      </w:r>
      <w:r w:rsidR="00F94A3C">
        <w:rPr>
          <w:color w:val="000000" w:themeColor="text1"/>
        </w:rPr>
        <w:t>n rights impact assessments</w:t>
      </w:r>
      <w:r w:rsidR="0086368E" w:rsidRPr="00F94A3C">
        <w:rPr>
          <w:color w:val="000000" w:themeColor="text1"/>
        </w:rPr>
        <w:t>.</w:t>
      </w:r>
    </w:p>
    <w:p w14:paraId="0E2818BD" w14:textId="29DB2DDD" w:rsidR="001225CF" w:rsidRPr="001225CF" w:rsidRDefault="0086368E" w:rsidP="00CE3789">
      <w:pPr>
        <w:pStyle w:val="Para0"/>
        <w:numPr>
          <w:ilvl w:val="0"/>
          <w:numId w:val="43"/>
        </w:numPr>
      </w:pPr>
      <w:r w:rsidRPr="00723B48">
        <w:rPr>
          <w:b/>
        </w:rPr>
        <w:lastRenderedPageBreak/>
        <w:t xml:space="preserve">Develop and </w:t>
      </w:r>
      <w:r w:rsidR="000C0F46" w:rsidRPr="00723B48">
        <w:rPr>
          <w:b/>
        </w:rPr>
        <w:t xml:space="preserve">communicate </w:t>
      </w:r>
      <w:r w:rsidR="00AF4192" w:rsidRPr="00723B48">
        <w:rPr>
          <w:b/>
        </w:rPr>
        <w:t>the</w:t>
      </w:r>
      <w:r w:rsidR="000C0F46" w:rsidRPr="00723B48">
        <w:rPr>
          <w:b/>
        </w:rPr>
        <w:t xml:space="preserve"> RBC policies </w:t>
      </w:r>
      <w:r w:rsidRPr="00723B48">
        <w:rPr>
          <w:b/>
        </w:rPr>
        <w:t xml:space="preserve">that </w:t>
      </w:r>
      <w:r w:rsidR="00AF4192" w:rsidRPr="00723B48">
        <w:rPr>
          <w:b/>
        </w:rPr>
        <w:t>appl</w:t>
      </w:r>
      <w:r w:rsidRPr="00723B48">
        <w:rPr>
          <w:b/>
        </w:rPr>
        <w:t>y</w:t>
      </w:r>
      <w:r w:rsidR="00AF4192" w:rsidRPr="00723B48">
        <w:rPr>
          <w:b/>
        </w:rPr>
        <w:t xml:space="preserve"> to</w:t>
      </w:r>
      <w:r w:rsidR="000C0F46" w:rsidRPr="00723B48">
        <w:rPr>
          <w:b/>
        </w:rPr>
        <w:t xml:space="preserve"> SOEs </w:t>
      </w:r>
      <w:r w:rsidR="00AF4192" w:rsidRPr="00723B48">
        <w:rPr>
          <w:b/>
        </w:rPr>
        <w:t>and</w:t>
      </w:r>
      <w:r w:rsidR="000C0F46" w:rsidRPr="00723B48">
        <w:rPr>
          <w:b/>
        </w:rPr>
        <w:t xml:space="preserve"> public procurement.</w:t>
      </w:r>
      <w:r w:rsidR="00E519C7">
        <w:t xml:space="preserve"> </w:t>
      </w:r>
      <w:r w:rsidR="00E54C32">
        <w:t>Any</w:t>
      </w:r>
      <w:r w:rsidR="000C0F46">
        <w:t xml:space="preserve"> reforms </w:t>
      </w:r>
      <w:r w:rsidR="00E519C7">
        <w:t>or</w:t>
      </w:r>
      <w:r w:rsidR="000C0F46">
        <w:t xml:space="preserve"> new legislation </w:t>
      </w:r>
      <w:r w:rsidR="00E54C32">
        <w:t>should be</w:t>
      </w:r>
      <w:r w:rsidR="000C0F46">
        <w:t xml:space="preserve"> subject to stakeholder consultations and undertake</w:t>
      </w:r>
      <w:r w:rsidR="00E519C7">
        <w:t>n</w:t>
      </w:r>
      <w:r w:rsidR="000C0F46">
        <w:t xml:space="preserve"> at a pace that is compatible with the ability to safeguard environmental and social entitlements.</w:t>
      </w:r>
      <w:r w:rsidR="003F0E82">
        <w:t xml:space="preserve"> </w:t>
      </w:r>
      <w:r>
        <w:t>Strengthen legislation to ensure adequate working conditions, in particular health and safety. I</w:t>
      </w:r>
      <w:r w:rsidR="000C0F46">
        <w:t>ntroduce stricter reporting requirements for on-the-job injurie</w:t>
      </w:r>
      <w:r w:rsidR="00E54C32">
        <w:t>s</w:t>
      </w:r>
      <w:r>
        <w:t>.</w:t>
      </w:r>
      <w:r w:rsidR="001B411A">
        <w:t xml:space="preserve"> </w:t>
      </w:r>
      <w:r>
        <w:t>Increase efforts to protect and promote the rights to form and join trade unions and introduce and enforce</w:t>
      </w:r>
      <w:r w:rsidR="00E54C32" w:rsidRPr="00115748">
        <w:t xml:space="preserve"> penalties </w:t>
      </w:r>
      <w:r>
        <w:t xml:space="preserve">for </w:t>
      </w:r>
      <w:r w:rsidR="00E54C32" w:rsidRPr="00115748">
        <w:t>a</w:t>
      </w:r>
      <w:r w:rsidR="00E54C32">
        <w:t>rbitrary dismissal of employees.</w:t>
      </w:r>
      <w:r>
        <w:t xml:space="preserve"> Increase efforts to guarantee the right to equal pay for work of equal value in law and practice, and </w:t>
      </w:r>
      <w:r w:rsidR="00385535">
        <w:t xml:space="preserve">further </w:t>
      </w:r>
      <w:r>
        <w:t>promote gende</w:t>
      </w:r>
      <w:r w:rsidR="006C7AD6">
        <w:t>r-inclusive employment policies, starting from government and SOEs.</w:t>
      </w:r>
      <w:r w:rsidR="0067281F">
        <w:t xml:space="preserve"> </w:t>
      </w:r>
    </w:p>
    <w:p w14:paraId="64B19E9B" w14:textId="336A0716" w:rsidR="00F936B4" w:rsidRDefault="00F936B4" w:rsidP="00404402">
      <w:pPr>
        <w:pStyle w:val="Heading1"/>
        <w:numPr>
          <w:ilvl w:val="0"/>
          <w:numId w:val="45"/>
        </w:numPr>
        <w:rPr>
          <w:rStyle w:val="CoverNormalChar"/>
        </w:rPr>
      </w:pPr>
      <w:bookmarkStart w:id="11" w:name="_Toc31228344"/>
      <w:bookmarkStart w:id="12" w:name="_Toc31983275"/>
      <w:bookmarkStart w:id="13" w:name="_Toc33443286"/>
      <w:r>
        <w:rPr>
          <w:rStyle w:val="CoverNormalChar"/>
        </w:rPr>
        <w:lastRenderedPageBreak/>
        <w:t>FDI t</w:t>
      </w:r>
      <w:r w:rsidRPr="005D5C1E">
        <w:rPr>
          <w:rStyle w:val="CoverNormalChar"/>
        </w:rPr>
        <w:t>rends</w:t>
      </w:r>
      <w:r>
        <w:rPr>
          <w:rStyle w:val="CoverNormalChar"/>
        </w:rPr>
        <w:t xml:space="preserve"> and </w:t>
      </w:r>
      <w:r w:rsidR="001F2B4F">
        <w:rPr>
          <w:rStyle w:val="CoverNormalChar"/>
        </w:rPr>
        <w:t>sustainable development impacts</w:t>
      </w:r>
      <w:bookmarkEnd w:id="11"/>
      <w:bookmarkEnd w:id="12"/>
      <w:bookmarkEnd w:id="13"/>
    </w:p>
    <w:p w14:paraId="0D1E9F2A" w14:textId="77777777" w:rsidR="00F936B4" w:rsidRDefault="00F936B4" w:rsidP="00F936B4">
      <w:pPr>
        <w:pStyle w:val="Para0"/>
      </w:pPr>
      <w:r>
        <w:t xml:space="preserve">Investment is central to growth and sustainable development. It expands an economy’s </w:t>
      </w:r>
      <w:r>
        <w:rPr>
          <w:rFonts w:cs="Times New Roman"/>
        </w:rPr>
        <w:t>productive capacity, creates jobs and raises income.</w:t>
      </w:r>
      <w:r w:rsidRPr="001F2378">
        <w:t xml:space="preserve"> </w:t>
      </w:r>
      <w:r>
        <w:t>Domestic investments usually dominate, but FDI can provide additional advantages beyond the direct contribution to the capital stock. Under the right conditions, international investment can raise overall productivity in recipient countries and, ultimately, lead to an increase in its citizens’ standard of living. Different channels exist through which these positive contributions can materialise:</w:t>
      </w:r>
    </w:p>
    <w:p w14:paraId="6ACCD596" w14:textId="3BE1BFFE" w:rsidR="00F936B4" w:rsidRDefault="004B600E" w:rsidP="00F936B4">
      <w:pPr>
        <w:pStyle w:val="Para0"/>
        <w:numPr>
          <w:ilvl w:val="0"/>
          <w:numId w:val="39"/>
        </w:numPr>
      </w:pPr>
      <w:r>
        <w:t>f</w:t>
      </w:r>
      <w:r w:rsidR="00F936B4">
        <w:t>oreign investment often contributes to growth, beyond what domestic investment normally would, by raising both total factor productivity and the efficient use of resources in host economies;</w:t>
      </w:r>
    </w:p>
    <w:p w14:paraId="4F2AD8B2" w14:textId="77777777" w:rsidR="00F936B4" w:rsidRDefault="00F936B4" w:rsidP="00F936B4">
      <w:pPr>
        <w:pStyle w:val="Para0"/>
        <w:numPr>
          <w:ilvl w:val="0"/>
          <w:numId w:val="39"/>
        </w:numPr>
      </w:pPr>
      <w:r>
        <w:t>FDI can support host economies’ global trade integration by providing them with improved access to international markets, developing local export capabilities and integrating them with global value chains;</w:t>
      </w:r>
    </w:p>
    <w:p w14:paraId="39C81296" w14:textId="77777777" w:rsidR="00F936B4" w:rsidRDefault="00F936B4" w:rsidP="00F936B4">
      <w:pPr>
        <w:pStyle w:val="Para0"/>
        <w:numPr>
          <w:ilvl w:val="0"/>
          <w:numId w:val="39"/>
        </w:numPr>
      </w:pPr>
      <w:r>
        <w:t>MNEs often bring new technologies in recipient economies and FDI can thus lead to local technology transfers and innovation spillovers, especially through the creation of local supplier linkages;</w:t>
      </w:r>
    </w:p>
    <w:p w14:paraId="4B7DC9E0" w14:textId="77777777" w:rsidR="00F936B4" w:rsidRDefault="00F936B4" w:rsidP="00F936B4">
      <w:pPr>
        <w:pStyle w:val="Para0"/>
        <w:numPr>
          <w:ilvl w:val="0"/>
          <w:numId w:val="39"/>
        </w:numPr>
      </w:pPr>
      <w:r>
        <w:t>FDI creates direct and indirect jobs (i.e. through backward and forward linkages with small and medium-sized domestic companies) and can enhance human capital through the dissemination of new skills, know-how and management techniques – which can benefit both MNE workers and local firms that act as suppliers to MNEs;</w:t>
      </w:r>
    </w:p>
    <w:p w14:paraId="33B677DC" w14:textId="6EE9070E" w:rsidR="00F936B4" w:rsidRDefault="004B600E" w:rsidP="00F936B4">
      <w:pPr>
        <w:pStyle w:val="Para0"/>
        <w:numPr>
          <w:ilvl w:val="0"/>
          <w:numId w:val="39"/>
        </w:numPr>
      </w:pPr>
      <w:r>
        <w:t>i</w:t>
      </w:r>
      <w:r w:rsidR="00F936B4">
        <w:t>nternational investment can also support greater competition in host markets and thus lead to productivity gains, lower prices and more efficient resource allocation;</w:t>
      </w:r>
      <w:r w:rsidR="00CD1C3F">
        <w:t xml:space="preserve"> and</w:t>
      </w:r>
    </w:p>
    <w:p w14:paraId="7A20F275" w14:textId="27349000" w:rsidR="00F936B4" w:rsidRDefault="00521C69" w:rsidP="00F936B4">
      <w:pPr>
        <w:pStyle w:val="Para0"/>
        <w:numPr>
          <w:ilvl w:val="0"/>
          <w:numId w:val="39"/>
        </w:numPr>
      </w:pPr>
      <w:r>
        <w:t>finally</w:t>
      </w:r>
      <w:r w:rsidR="00F936B4">
        <w:t>, FDI has the potential to bring social and environmental benefits to host countries by disseminating good practices of responsible business conduct (RBC), as laid out in the OECD Guidelines for Multinational Enterprises.</w:t>
      </w:r>
    </w:p>
    <w:p w14:paraId="5D0273E7" w14:textId="2A055BED" w:rsidR="00F936B4" w:rsidRPr="00FC14C7" w:rsidRDefault="00F936B4" w:rsidP="00F936B4">
      <w:pPr>
        <w:pStyle w:val="Para0"/>
      </w:pPr>
      <w:r>
        <w:t xml:space="preserve">These benefits do not occur automatically, and an adequate policy framework is necessary to maximise them as well as minimise any potential costs of FDI. </w:t>
      </w:r>
    </w:p>
    <w:p w14:paraId="4225596F" w14:textId="7AEA204C" w:rsidR="00F936B4" w:rsidRDefault="005A6AA8" w:rsidP="00F936B4">
      <w:pPr>
        <w:pStyle w:val="Heading2"/>
        <w:rPr>
          <w:rFonts w:hint="eastAsia"/>
        </w:rPr>
      </w:pPr>
      <w:bookmarkStart w:id="14" w:name="_Toc31228345"/>
      <w:bookmarkStart w:id="15" w:name="_Toc31983276"/>
      <w:bookmarkStart w:id="16" w:name="_Toc33443287"/>
      <w:r>
        <w:t>FDI in the regions remains below its potential</w:t>
      </w:r>
      <w:bookmarkEnd w:id="14"/>
      <w:bookmarkEnd w:id="15"/>
      <w:bookmarkEnd w:id="16"/>
    </w:p>
    <w:p w14:paraId="67BA9D55" w14:textId="77777777" w:rsidR="006A760E" w:rsidRDefault="00F936B4" w:rsidP="00F936B4">
      <w:pPr>
        <w:pStyle w:val="Para0"/>
      </w:pPr>
      <w:r>
        <w:t xml:space="preserve">The stock of inward FDI in </w:t>
      </w:r>
      <w:r w:rsidR="00D431AA">
        <w:t>EaP</w:t>
      </w:r>
      <w:r w:rsidR="004B2D73">
        <w:t xml:space="preserve"> </w:t>
      </w:r>
      <w:r w:rsidR="00D431AA">
        <w:t xml:space="preserve">countries </w:t>
      </w:r>
      <w:r>
        <w:t>has grown considerably over the last decade, from around 30% to 55% of GDP, surpassing the average for EU countries (Figure 1.1). It remains the lowest of the EU’s neighbouring regions, and its growth has been modest relative to Southeast Europe and Central Asia (although the latter has been primarily in natural resource extraction), suggesting that there is still scope for greater FDI attraction in some economies.</w:t>
      </w:r>
      <w:r w:rsidR="00711CC4">
        <w:t xml:space="preserve"> </w:t>
      </w:r>
      <w:r>
        <w:t xml:space="preserve">When considering the countries in the region individually, there is </w:t>
      </w:r>
      <w:r w:rsidR="00C50AD3">
        <w:t xml:space="preserve">a </w:t>
      </w:r>
      <w:r>
        <w:t xml:space="preserve">wide discrepancy in FDI’s importance relative to the economy. Georgia has seen an astonishing growth, with FDI stocks doubling from 55% of GDP in 2007 to over 100% in 2018. Azerbaijan, with FDI stocks now at </w:t>
      </w:r>
      <w:r w:rsidR="00C72FB1">
        <w:t xml:space="preserve">almost </w:t>
      </w:r>
      <w:r>
        <w:t xml:space="preserve">70% of GDP, has witnessed a similar growth over the last decade. The other countries in the region have </w:t>
      </w:r>
      <w:r w:rsidR="00532D04">
        <w:t>experienced</w:t>
      </w:r>
      <w:r>
        <w:t xml:space="preserve"> </w:t>
      </w:r>
      <w:r w:rsidR="00895AA9">
        <w:t>more modest</w:t>
      </w:r>
      <w:r>
        <w:t xml:space="preserve"> </w:t>
      </w:r>
      <w:r>
        <w:lastRenderedPageBreak/>
        <w:t>growth,</w:t>
      </w:r>
      <w:r w:rsidR="0021150B">
        <w:t xml:space="preserve"> with FDI</w:t>
      </w:r>
      <w:r>
        <w:t xml:space="preserve"> remain</w:t>
      </w:r>
      <w:r w:rsidR="0021150B">
        <w:t>ing</w:t>
      </w:r>
      <w:r>
        <w:t xml:space="preserve"> between 35% and 4</w:t>
      </w:r>
      <w:r w:rsidR="00C72FB1">
        <w:t>3</w:t>
      </w:r>
      <w:r>
        <w:t>%</w:t>
      </w:r>
      <w:r w:rsidR="0021150B">
        <w:t xml:space="preserve"> of GDP</w:t>
      </w:r>
      <w:r>
        <w:t>. In Moldova, FDI’s share in GDP actually shrank over the last decade, from 50% to just over 40%.</w:t>
      </w:r>
    </w:p>
    <w:p w14:paraId="3DE81872" w14:textId="0B481782" w:rsidR="00F936B4" w:rsidRDefault="00F936B4" w:rsidP="00F936B4">
      <w:pPr>
        <w:pStyle w:val="Para0"/>
      </w:pPr>
      <w:r>
        <w:t>In terms of the distribution of inward FDI stocks across the region, the shares have remained fairly stable over the last two decades</w:t>
      </w:r>
      <w:r w:rsidR="0021150B">
        <w:t xml:space="preserve"> </w:t>
      </w:r>
      <w:r w:rsidR="00C72FB1">
        <w:t xml:space="preserve">for </w:t>
      </w:r>
      <w:r w:rsidR="0021150B">
        <w:t xml:space="preserve">Belarus, Moldova and Ukraine (Figure </w:t>
      </w:r>
      <w:r w:rsidR="00E374B0">
        <w:t>1</w:t>
      </w:r>
      <w:r w:rsidR="0021150B">
        <w:t>.2).</w:t>
      </w:r>
      <w:r>
        <w:t xml:space="preserve"> </w:t>
      </w:r>
      <w:r w:rsidR="0021150B">
        <w:t>By comparison, FDI stocks of Georgia and Armenia more than doubled (to 14% and 5%, respe</w:t>
      </w:r>
      <w:r w:rsidR="00C72FB1">
        <w:t>ctively), while Azerbaijan’s share</w:t>
      </w:r>
      <w:r w:rsidR="0021150B">
        <w:t xml:space="preserve"> </w:t>
      </w:r>
      <w:r w:rsidR="00532D04">
        <w:t>shrank</w:t>
      </w:r>
      <w:r w:rsidR="0021150B">
        <w:t xml:space="preserve"> </w:t>
      </w:r>
      <w:r w:rsidR="00C72FB1">
        <w:t>from 38% to 25%</w:t>
      </w:r>
      <w:r w:rsidR="00184B60">
        <w:t xml:space="preserve"> of total FDI in the region</w:t>
      </w:r>
      <w:r w:rsidR="0021150B">
        <w:t>.</w:t>
      </w:r>
    </w:p>
    <w:p w14:paraId="0BFE914D" w14:textId="38336470" w:rsidR="00F936B4" w:rsidRDefault="00F936B4" w:rsidP="00F936B4">
      <w:pPr>
        <w:pStyle w:val="Caption"/>
      </w:pPr>
      <w:bookmarkStart w:id="17" w:name="_Toc31983241"/>
      <w:bookmarkStart w:id="18" w:name="_Toc33443325"/>
      <w:r>
        <w:t xml:space="preserve">Figure </w:t>
      </w:r>
      <w:fldSimple w:instr=" STYLEREF 1 \s ">
        <w:r w:rsidR="006A760E">
          <w:rPr>
            <w:noProof/>
          </w:rPr>
          <w:t>1</w:t>
        </w:r>
      </w:fldSimple>
      <w:r>
        <w:t>.</w:t>
      </w:r>
      <w:r>
        <w:rPr>
          <w:noProof/>
        </w:rPr>
        <w:fldChar w:fldCharType="begin"/>
      </w:r>
      <w:r>
        <w:rPr>
          <w:noProof/>
        </w:rPr>
        <w:instrText xml:space="preserve"> SEQ Figure \* ARABIC \s 1 </w:instrText>
      </w:r>
      <w:r>
        <w:rPr>
          <w:noProof/>
        </w:rPr>
        <w:fldChar w:fldCharType="separate"/>
      </w:r>
      <w:r w:rsidR="006A760E">
        <w:rPr>
          <w:noProof/>
        </w:rPr>
        <w:t>1</w:t>
      </w:r>
      <w:r>
        <w:rPr>
          <w:noProof/>
        </w:rPr>
        <w:fldChar w:fldCharType="end"/>
      </w:r>
      <w:r>
        <w:t xml:space="preserve">. </w:t>
      </w:r>
      <w:r w:rsidR="00711CC4">
        <w:t xml:space="preserve">FDI’s importance relative to GDP </w:t>
      </w:r>
      <w:r w:rsidR="00BF35BA">
        <w:t>has risen</w:t>
      </w:r>
      <w:r w:rsidR="00711CC4">
        <w:t xml:space="preserve"> </w:t>
      </w:r>
      <w:r w:rsidR="00BF35BA">
        <w:t>strikingly</w:t>
      </w:r>
      <w:r w:rsidR="00711CC4">
        <w:t xml:space="preserve"> in Georgia and Azerbaijan</w:t>
      </w:r>
      <w:bookmarkEnd w:id="17"/>
      <w:bookmarkEnd w:id="18"/>
    </w:p>
    <w:p w14:paraId="4019002E" w14:textId="77777777" w:rsidR="00F936B4" w:rsidRDefault="00F936B4" w:rsidP="00F936B4">
      <w:pPr>
        <w:pStyle w:val="CaptionSubtitle"/>
      </w:pPr>
      <w:r>
        <w:t>Inward FDI stocks, % of GDP</w:t>
      </w:r>
    </w:p>
    <w:p w14:paraId="1A28A9F3" w14:textId="4C522546" w:rsidR="00F936B4" w:rsidRDefault="00492F10" w:rsidP="00F936B4">
      <w:pPr>
        <w:pStyle w:val="Figure"/>
        <w:rPr>
          <w:i/>
        </w:rPr>
      </w:pPr>
      <w:r w:rsidRPr="00492F10">
        <w:rPr>
          <w:noProof/>
          <w:lang w:eastAsia="en-GB"/>
        </w:rPr>
        <w:drawing>
          <wp:inline distT="0" distB="0" distL="0" distR="0" wp14:anchorId="0C3EF289" wp14:editId="51344012">
            <wp:extent cx="5040000" cy="224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0000" cy="2244050"/>
                    </a:xfrm>
                    <a:prstGeom prst="rect">
                      <a:avLst/>
                    </a:prstGeom>
                    <a:noFill/>
                    <a:ln>
                      <a:noFill/>
                    </a:ln>
                  </pic:spPr>
                </pic:pic>
              </a:graphicData>
            </a:graphic>
          </wp:inline>
        </w:drawing>
      </w:r>
    </w:p>
    <w:p w14:paraId="250C7C76" w14:textId="00B3BAFD" w:rsidR="00F936B4" w:rsidRPr="008E3F6A" w:rsidRDefault="00F936B4" w:rsidP="00F936B4">
      <w:pPr>
        <w:pStyle w:val="Sourcenotes"/>
      </w:pPr>
      <w:r>
        <w:rPr>
          <w:i/>
        </w:rPr>
        <w:t>Note:</w:t>
      </w:r>
      <w:r>
        <w:t xml:space="preserve"> CA = Central Asia; SEE = Southeast Europe; MED = Southern Mediterranean; </w:t>
      </w:r>
      <w:r w:rsidR="00D431AA">
        <w:t>EaP = Eastern Partners</w:t>
      </w:r>
      <w:r>
        <w:t>.</w:t>
      </w:r>
    </w:p>
    <w:p w14:paraId="6B0F82A5" w14:textId="77777777" w:rsidR="00F936B4" w:rsidRDefault="00F936B4" w:rsidP="00F936B4">
      <w:pPr>
        <w:pStyle w:val="Sourcenotes"/>
      </w:pPr>
      <w:r w:rsidRPr="00454399">
        <w:rPr>
          <w:i/>
        </w:rPr>
        <w:t>Source</w:t>
      </w:r>
      <w:r>
        <w:t>: UNCTAD Statistics (2019).</w:t>
      </w:r>
    </w:p>
    <w:p w14:paraId="4D13F498" w14:textId="3B804D91" w:rsidR="00F936B4" w:rsidRDefault="00F936B4" w:rsidP="00F936B4">
      <w:pPr>
        <w:pStyle w:val="Caption"/>
      </w:pPr>
      <w:bookmarkStart w:id="19" w:name="_Toc31983242"/>
      <w:bookmarkStart w:id="20" w:name="_Toc33443326"/>
      <w:r>
        <w:t xml:space="preserve">Figure </w:t>
      </w:r>
      <w:fldSimple w:instr=" STYLEREF 1 \s ">
        <w:r w:rsidR="006A760E">
          <w:rPr>
            <w:noProof/>
          </w:rPr>
          <w:t>1</w:t>
        </w:r>
      </w:fldSimple>
      <w:r>
        <w:t>.</w:t>
      </w:r>
      <w:r>
        <w:rPr>
          <w:noProof/>
        </w:rPr>
        <w:fldChar w:fldCharType="begin"/>
      </w:r>
      <w:r>
        <w:rPr>
          <w:noProof/>
        </w:rPr>
        <w:instrText xml:space="preserve"> SEQ Figure \* ARABIC \s 1 </w:instrText>
      </w:r>
      <w:r>
        <w:rPr>
          <w:noProof/>
        </w:rPr>
        <w:fldChar w:fldCharType="separate"/>
      </w:r>
      <w:r w:rsidR="006A760E">
        <w:rPr>
          <w:noProof/>
        </w:rPr>
        <w:t>2</w:t>
      </w:r>
      <w:r>
        <w:rPr>
          <w:noProof/>
        </w:rPr>
        <w:fldChar w:fldCharType="end"/>
      </w:r>
      <w:r>
        <w:t xml:space="preserve">. </w:t>
      </w:r>
      <w:r w:rsidR="006C72D6">
        <w:t xml:space="preserve">Georgia and Armenia </w:t>
      </w:r>
      <w:r w:rsidR="006C1102">
        <w:t>attract</w:t>
      </w:r>
      <w:r w:rsidR="006C72D6">
        <w:t xml:space="preserve"> </w:t>
      </w:r>
      <w:r w:rsidR="006C1102">
        <w:t>growing</w:t>
      </w:r>
      <w:r w:rsidR="006C72D6">
        <w:t xml:space="preserve"> shares of</w:t>
      </w:r>
      <w:r>
        <w:t xml:space="preserve"> </w:t>
      </w:r>
      <w:r w:rsidR="006C1102">
        <w:t>the region</w:t>
      </w:r>
      <w:r w:rsidR="00CD1C3F">
        <w:t>’</w:t>
      </w:r>
      <w:r w:rsidR="006C1102">
        <w:t>s</w:t>
      </w:r>
      <w:r w:rsidR="006C72D6">
        <w:t xml:space="preserve"> FDI</w:t>
      </w:r>
      <w:r w:rsidR="006C1102">
        <w:t xml:space="preserve"> stock</w:t>
      </w:r>
      <w:bookmarkEnd w:id="19"/>
      <w:bookmarkEnd w:id="20"/>
    </w:p>
    <w:p w14:paraId="119B406A" w14:textId="0AE1573A" w:rsidR="00F936B4" w:rsidRDefault="00F936B4" w:rsidP="00F936B4">
      <w:pPr>
        <w:pStyle w:val="CaptionSubtitle"/>
      </w:pPr>
      <w:r>
        <w:t>Share of total inward FDI stock</w:t>
      </w:r>
    </w:p>
    <w:p w14:paraId="0C02EA25" w14:textId="44B31BA8" w:rsidR="00F936B4" w:rsidRPr="000F23C1" w:rsidRDefault="00100B9C" w:rsidP="00F936B4">
      <w:pPr>
        <w:pStyle w:val="Figure"/>
      </w:pPr>
      <w:r>
        <w:rPr>
          <w:noProof/>
          <w:lang w:eastAsia="en-GB"/>
        </w:rPr>
        <w:drawing>
          <wp:inline distT="0" distB="0" distL="0" distR="0" wp14:anchorId="46A8DAF0" wp14:editId="2558C98D">
            <wp:extent cx="4932000" cy="2681941"/>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2000" cy="2681941"/>
                    </a:xfrm>
                    <a:prstGeom prst="rect">
                      <a:avLst/>
                    </a:prstGeom>
                    <a:noFill/>
                  </pic:spPr>
                </pic:pic>
              </a:graphicData>
            </a:graphic>
          </wp:inline>
        </w:drawing>
      </w:r>
    </w:p>
    <w:p w14:paraId="68D5DD4C" w14:textId="5D5E1FD0" w:rsidR="00DC5C9B" w:rsidRPr="00DC5C9B" w:rsidRDefault="00DC5C9B" w:rsidP="00F936B4">
      <w:pPr>
        <w:pStyle w:val="Sourcenotes"/>
      </w:pPr>
      <w:r>
        <w:rPr>
          <w:i/>
        </w:rPr>
        <w:t xml:space="preserve">Note: </w:t>
      </w:r>
      <w:r>
        <w:t>Figure not to scale: inward FDI stocks in 2018 were 15 times higher than in 1998.</w:t>
      </w:r>
    </w:p>
    <w:p w14:paraId="66DD336E" w14:textId="125F308A" w:rsidR="00F936B4" w:rsidRPr="00454399" w:rsidRDefault="00F936B4" w:rsidP="00F936B4">
      <w:pPr>
        <w:pStyle w:val="Sourcenotes"/>
      </w:pPr>
      <w:r w:rsidRPr="00454399">
        <w:rPr>
          <w:i/>
        </w:rPr>
        <w:t>Source</w:t>
      </w:r>
      <w:r>
        <w:t>: UNCTAD Statistics (2019).</w:t>
      </w:r>
    </w:p>
    <w:p w14:paraId="6957FAE0" w14:textId="5088C43E" w:rsidR="00E328BD" w:rsidRDefault="00E328BD" w:rsidP="00E328BD">
      <w:pPr>
        <w:pStyle w:val="Para0"/>
      </w:pPr>
      <w:r>
        <w:lastRenderedPageBreak/>
        <w:t xml:space="preserve">The coronavirus (COVID-19) health crisis, government measures to contain the pandemic, and the resulting economic upheaval, </w:t>
      </w:r>
      <w:r w:rsidR="000E4BBD">
        <w:t>are set to</w:t>
      </w:r>
      <w:r>
        <w:t xml:space="preserve"> accelerate the steady decline in global FDI flows observed over the past two years. The current crisis may affect Eurasia economies more severely than the 2008 financial crisis did, given their greater integration in the global economy, and thus greater exposure to the systemic effects of the pandemic. Low oil prices, exacerbated by the demand contraction and ongoing oil price war, will make energy-exporting countries in the region particularly vulnerable to the economic shock, and related drop in FDI inflows.</w:t>
      </w:r>
    </w:p>
    <w:p w14:paraId="5CC34D48" w14:textId="675F5B13" w:rsidR="004F2410" w:rsidRDefault="00E328BD" w:rsidP="00E328BD">
      <w:pPr>
        <w:pStyle w:val="Para0"/>
      </w:pPr>
      <w:r>
        <w:t xml:space="preserve">Prior to the COVID-19 crisis, </w:t>
      </w:r>
      <w:r w:rsidR="003A3D98">
        <w:t>i</w:t>
      </w:r>
      <w:r w:rsidR="0083406A">
        <w:t xml:space="preserve">nflows of FDI </w:t>
      </w:r>
      <w:r w:rsidR="000E4BBD">
        <w:t xml:space="preserve">to </w:t>
      </w:r>
      <w:r w:rsidR="0083406A">
        <w:t xml:space="preserve">the region </w:t>
      </w:r>
      <w:r>
        <w:t xml:space="preserve">were already </w:t>
      </w:r>
      <w:r w:rsidR="0083406A">
        <w:t xml:space="preserve">somewhat flat (Figure 1.3). In Ukraine, they </w:t>
      </w:r>
      <w:r w:rsidR="00B035D3">
        <w:t xml:space="preserve">increased substantially </w:t>
      </w:r>
      <w:r w:rsidR="006B4BBB">
        <w:t>prior to the global financial crisis of 2008-09</w:t>
      </w:r>
      <w:r w:rsidR="00B035D3">
        <w:t>, but then dropp</w:t>
      </w:r>
      <w:r w:rsidR="00C90850">
        <w:t xml:space="preserve">ed in </w:t>
      </w:r>
      <w:r w:rsidR="006B4BBB">
        <w:t xml:space="preserve">its </w:t>
      </w:r>
      <w:r w:rsidR="00C90850">
        <w:t>aftermath</w:t>
      </w:r>
      <w:r w:rsidR="00B035D3">
        <w:t>, and have not recovered</w:t>
      </w:r>
      <w:r w:rsidR="006B4BBB">
        <w:t xml:space="preserve"> since</w:t>
      </w:r>
      <w:r w:rsidR="00B035D3">
        <w:t>. Azerbaijan’s FDI</w:t>
      </w:r>
      <w:r w:rsidR="006B4BBB">
        <w:t xml:space="preserve"> inflows</w:t>
      </w:r>
      <w:r w:rsidR="00B035D3">
        <w:t xml:space="preserve"> are highly </w:t>
      </w:r>
      <w:r w:rsidR="00C90850">
        <w:t>influenced</w:t>
      </w:r>
      <w:r w:rsidR="00B035D3">
        <w:t xml:space="preserve"> by </w:t>
      </w:r>
      <w:r w:rsidR="00C90850">
        <w:t>oil and gas-related activities being the country’s</w:t>
      </w:r>
      <w:r w:rsidR="00B035D3">
        <w:t xml:space="preserve"> </w:t>
      </w:r>
      <w:r w:rsidR="00C90850">
        <w:t xml:space="preserve">main recipients of investments. The country experienced large disinvestments </w:t>
      </w:r>
      <w:r w:rsidR="002D23FF">
        <w:t>in the run up to</w:t>
      </w:r>
      <w:r w:rsidR="00C90850">
        <w:t xml:space="preserve"> the financial crisis, which recovered until oil prices dropped again in 2015-16. FDI flows into other countries in the region have been more stable, with noticeable growth in Belarus and Georgia and relatively minor but stable flows </w:t>
      </w:r>
      <w:r w:rsidR="006B4BBB">
        <w:t xml:space="preserve">to </w:t>
      </w:r>
      <w:r w:rsidR="00C90850">
        <w:t>Moldova and Armenia.</w:t>
      </w:r>
    </w:p>
    <w:p w14:paraId="673FB3B1" w14:textId="7413C25A" w:rsidR="00F936B4" w:rsidRDefault="00F936B4" w:rsidP="00F936B4">
      <w:pPr>
        <w:pStyle w:val="Caption"/>
      </w:pPr>
      <w:bookmarkStart w:id="21" w:name="_Toc31983243"/>
      <w:bookmarkStart w:id="22" w:name="_Toc33443327"/>
      <w:r>
        <w:t xml:space="preserve">Figure </w:t>
      </w:r>
      <w:fldSimple w:instr=" STYLEREF 1 \s ">
        <w:r w:rsidR="004B1200">
          <w:rPr>
            <w:noProof/>
          </w:rPr>
          <w:t>1</w:t>
        </w:r>
      </w:fldSimple>
      <w:r>
        <w:t>.</w:t>
      </w:r>
      <w:r>
        <w:rPr>
          <w:noProof/>
        </w:rPr>
        <w:fldChar w:fldCharType="begin"/>
      </w:r>
      <w:r>
        <w:rPr>
          <w:noProof/>
        </w:rPr>
        <w:instrText xml:space="preserve"> SEQ Figure \* ARABIC \s 1 </w:instrText>
      </w:r>
      <w:r>
        <w:rPr>
          <w:noProof/>
        </w:rPr>
        <w:fldChar w:fldCharType="separate"/>
      </w:r>
      <w:r w:rsidR="004B1200">
        <w:rPr>
          <w:noProof/>
        </w:rPr>
        <w:t>3</w:t>
      </w:r>
      <w:r>
        <w:rPr>
          <w:noProof/>
        </w:rPr>
        <w:fldChar w:fldCharType="end"/>
      </w:r>
      <w:r>
        <w:t xml:space="preserve">. </w:t>
      </w:r>
      <w:r w:rsidR="00C56B95">
        <w:t xml:space="preserve">FDI flows remain low in </w:t>
      </w:r>
      <w:r w:rsidR="00DB49AD">
        <w:t>EaP</w:t>
      </w:r>
      <w:r w:rsidR="00C56B95">
        <w:t xml:space="preserve"> countries</w:t>
      </w:r>
      <w:bookmarkEnd w:id="21"/>
      <w:bookmarkEnd w:id="22"/>
      <w:r w:rsidR="00C56B95">
        <w:t xml:space="preserve"> </w:t>
      </w:r>
    </w:p>
    <w:p w14:paraId="11DD6D23" w14:textId="13B7DF1A" w:rsidR="00F936B4" w:rsidRPr="005F4D22" w:rsidRDefault="00F936B4" w:rsidP="00F936B4">
      <w:pPr>
        <w:pStyle w:val="CaptionSubtitle"/>
      </w:pPr>
      <w:r w:rsidRPr="005F4D22">
        <w:t xml:space="preserve">Inward FDI flows, </w:t>
      </w:r>
      <w:r w:rsidR="002D23FF">
        <w:t>1998 = 100</w:t>
      </w:r>
    </w:p>
    <w:p w14:paraId="76B09767" w14:textId="6017DC35" w:rsidR="00F936B4" w:rsidRPr="005F4D22" w:rsidRDefault="002D23FF" w:rsidP="00F936B4">
      <w:pPr>
        <w:pStyle w:val="Figure"/>
      </w:pPr>
      <w:r w:rsidRPr="002D23FF">
        <w:rPr>
          <w:noProof/>
          <w:lang w:eastAsia="en-GB"/>
        </w:rPr>
        <w:drawing>
          <wp:inline distT="0" distB="0" distL="0" distR="0" wp14:anchorId="3733770C" wp14:editId="4CB474BB">
            <wp:extent cx="5040000" cy="2563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000" cy="2563575"/>
                    </a:xfrm>
                    <a:prstGeom prst="rect">
                      <a:avLst/>
                    </a:prstGeom>
                    <a:noFill/>
                    <a:ln>
                      <a:noFill/>
                    </a:ln>
                  </pic:spPr>
                </pic:pic>
              </a:graphicData>
            </a:graphic>
          </wp:inline>
        </w:drawing>
      </w:r>
    </w:p>
    <w:p w14:paraId="62996F99" w14:textId="77777777" w:rsidR="00F936B4" w:rsidRDefault="00F936B4" w:rsidP="00F936B4">
      <w:pPr>
        <w:pStyle w:val="Sourcenotes"/>
      </w:pPr>
      <w:r w:rsidRPr="005F4D22">
        <w:rPr>
          <w:i/>
        </w:rPr>
        <w:t>Source</w:t>
      </w:r>
      <w:r w:rsidRPr="005F4D22">
        <w:t>: UNCTAD Statistics (2019).</w:t>
      </w:r>
    </w:p>
    <w:p w14:paraId="4222C82F" w14:textId="117CCFC9" w:rsidR="000D59A7" w:rsidRDefault="004B1200" w:rsidP="00D17F84">
      <w:pPr>
        <w:pStyle w:val="Para0"/>
      </w:pPr>
      <w:r>
        <w:t xml:space="preserve">A range of different economic activities attract foreign investors to the region (Figure 1.4). </w:t>
      </w:r>
      <w:r w:rsidR="00BC16C0">
        <w:t>In terms of project value</w:t>
      </w:r>
      <w:r w:rsidR="00F3529A">
        <w:t xml:space="preserve">, the majority of announced greenfield investments </w:t>
      </w:r>
      <w:r w:rsidR="00BC16C0">
        <w:t xml:space="preserve">in the region, </w:t>
      </w:r>
      <w:r w:rsidR="00F3529A">
        <w:t>over 2003 to 2017</w:t>
      </w:r>
      <w:r w:rsidR="00BC16C0">
        <w:t>,</w:t>
      </w:r>
      <w:r w:rsidR="00F3529A">
        <w:t xml:space="preserve"> were in </w:t>
      </w:r>
      <w:r w:rsidR="00136F2C">
        <w:t>information and communication technology (ICT) services and</w:t>
      </w:r>
      <w:r w:rsidR="00C87872">
        <w:t xml:space="preserve"> </w:t>
      </w:r>
      <w:r w:rsidR="00F3529A">
        <w:t>financial services</w:t>
      </w:r>
      <w:r w:rsidR="00BC16C0">
        <w:t xml:space="preserve"> (22%)</w:t>
      </w:r>
      <w:r w:rsidR="00F3529A">
        <w:t>, followed by fossil fuels</w:t>
      </w:r>
      <w:r w:rsidR="00BC16C0">
        <w:t xml:space="preserve"> (18%)</w:t>
      </w:r>
      <w:r w:rsidR="00F3529A">
        <w:t xml:space="preserve"> and construction</w:t>
      </w:r>
      <w:r w:rsidR="00BC16C0">
        <w:t xml:space="preserve"> (11%)</w:t>
      </w:r>
      <w:r w:rsidR="00F3529A">
        <w:t>.</w:t>
      </w:r>
      <w:r w:rsidR="00684113">
        <w:t xml:space="preserve"> However the picture is considerably different across countries</w:t>
      </w:r>
      <w:r w:rsidR="00467231">
        <w:t xml:space="preserve"> (Annex 1.A.)</w:t>
      </w:r>
      <w:r w:rsidR="00684113">
        <w:t xml:space="preserve">. </w:t>
      </w:r>
      <w:r w:rsidR="00BC16C0">
        <w:t xml:space="preserve">In Armenia over 50% of greenfield </w:t>
      </w:r>
      <w:r w:rsidR="004F25F2">
        <w:t>FDI</w:t>
      </w:r>
      <w:r w:rsidR="00BC16C0">
        <w:t xml:space="preserve"> was in</w:t>
      </w:r>
      <w:r w:rsidR="002A0CCD">
        <w:t xml:space="preserve"> </w:t>
      </w:r>
      <w:r w:rsidR="00C5704D">
        <w:t>ICT</w:t>
      </w:r>
      <w:r w:rsidR="002A0CCD">
        <w:t xml:space="preserve"> and financial </w:t>
      </w:r>
      <w:r w:rsidR="00BC16C0">
        <w:t>services</w:t>
      </w:r>
      <w:r w:rsidR="00136F2C">
        <w:t>, while half</w:t>
      </w:r>
      <w:r w:rsidR="004F25F2">
        <w:t xml:space="preserve"> of Azerbaijan’s inward flows over the same period were in oil and gas</w:t>
      </w:r>
      <w:r w:rsidR="00136F2C">
        <w:t xml:space="preserve">. Moldova’s </w:t>
      </w:r>
      <w:r w:rsidR="004479E0">
        <w:t>FDI portfolio is somewhat more diversified, including</w:t>
      </w:r>
      <w:r w:rsidR="00136F2C">
        <w:t xml:space="preserve"> </w:t>
      </w:r>
      <w:r w:rsidR="004F25F2">
        <w:t xml:space="preserve">significant greenfield investment in transport equipment (23%), natural gas (21%) and </w:t>
      </w:r>
      <w:r w:rsidR="00C5704D">
        <w:t>ICT</w:t>
      </w:r>
      <w:r w:rsidR="004F25F2">
        <w:t xml:space="preserve"> services (16%)</w:t>
      </w:r>
      <w:r w:rsidR="00C55970">
        <w:t xml:space="preserve">. </w:t>
      </w:r>
      <w:r w:rsidR="00684113">
        <w:t>Belarus, Georgia and Ukraine have a</w:t>
      </w:r>
      <w:r w:rsidR="004479E0">
        <w:t>n even</w:t>
      </w:r>
      <w:r w:rsidR="00684113">
        <w:t xml:space="preserve"> more diversified portfoli</w:t>
      </w:r>
      <w:r w:rsidR="004479E0">
        <w:t>o</w:t>
      </w:r>
      <w:r w:rsidR="00F91FCC">
        <w:t xml:space="preserve">, including significant investments in </w:t>
      </w:r>
      <w:r w:rsidR="000D59A7">
        <w:t>I</w:t>
      </w:r>
      <w:r w:rsidR="00830B94">
        <w:t>CT and finance;</w:t>
      </w:r>
      <w:r w:rsidR="000D59A7">
        <w:t xml:space="preserve"> </w:t>
      </w:r>
      <w:r w:rsidR="00830B94">
        <w:t xml:space="preserve">consumer products such as electronics and garments; transport and storage (Belarus and Georgia) </w:t>
      </w:r>
      <w:r w:rsidR="00830B94">
        <w:lastRenderedPageBreak/>
        <w:t xml:space="preserve">food, </w:t>
      </w:r>
      <w:r w:rsidR="000D59A7">
        <w:t xml:space="preserve">construction </w:t>
      </w:r>
      <w:r w:rsidR="00830B94">
        <w:t xml:space="preserve">and building materials </w:t>
      </w:r>
      <w:r w:rsidR="000D59A7">
        <w:t>(Ukraine)</w:t>
      </w:r>
      <w:r w:rsidR="00830B94">
        <w:t>;</w:t>
      </w:r>
      <w:r w:rsidR="000D59A7">
        <w:t xml:space="preserve"> </w:t>
      </w:r>
      <w:r w:rsidR="00830B94">
        <w:t>natural gas (Georgia); and transport equipment (Belarus).</w:t>
      </w:r>
    </w:p>
    <w:p w14:paraId="7C022135" w14:textId="4571EE80" w:rsidR="00F936B4" w:rsidRDefault="00F936B4" w:rsidP="00F936B4">
      <w:pPr>
        <w:pStyle w:val="Caption"/>
      </w:pPr>
      <w:bookmarkStart w:id="23" w:name="_Toc31983244"/>
      <w:bookmarkStart w:id="24" w:name="_Toc33443328"/>
      <w:r>
        <w:t xml:space="preserve">Figure </w:t>
      </w:r>
      <w:fldSimple w:instr=" STYLEREF 1 \s ">
        <w:r w:rsidR="004B1200">
          <w:rPr>
            <w:noProof/>
          </w:rPr>
          <w:t>1</w:t>
        </w:r>
      </w:fldSimple>
      <w:r>
        <w:t>.</w:t>
      </w:r>
      <w:r>
        <w:rPr>
          <w:noProof/>
        </w:rPr>
        <w:fldChar w:fldCharType="begin"/>
      </w:r>
      <w:r>
        <w:rPr>
          <w:noProof/>
        </w:rPr>
        <w:instrText xml:space="preserve"> SEQ Figure \* ARABIC \s 1 </w:instrText>
      </w:r>
      <w:r>
        <w:rPr>
          <w:noProof/>
        </w:rPr>
        <w:fldChar w:fldCharType="separate"/>
      </w:r>
      <w:r w:rsidR="004B1200">
        <w:rPr>
          <w:noProof/>
        </w:rPr>
        <w:t>4</w:t>
      </w:r>
      <w:r>
        <w:rPr>
          <w:noProof/>
        </w:rPr>
        <w:fldChar w:fldCharType="end"/>
      </w:r>
      <w:r>
        <w:t xml:space="preserve">. </w:t>
      </w:r>
      <w:r w:rsidR="00D17A9E">
        <w:t>Greenfield investments are dominated by services, fossil fuels and construction</w:t>
      </w:r>
      <w:bookmarkEnd w:id="23"/>
      <w:bookmarkEnd w:id="24"/>
    </w:p>
    <w:p w14:paraId="78C0F0C7" w14:textId="1F3A0E3B" w:rsidR="00F936B4" w:rsidRDefault="00FD2864" w:rsidP="00F936B4">
      <w:pPr>
        <w:pStyle w:val="CaptionSubtitle"/>
      </w:pPr>
      <w:r>
        <w:t>Value of announced g</w:t>
      </w:r>
      <w:r w:rsidR="00F936B4">
        <w:t xml:space="preserve">reenfield FDI </w:t>
      </w:r>
      <w:r>
        <w:t>projects</w:t>
      </w:r>
      <w:r w:rsidR="00F936B4">
        <w:t xml:space="preserve">, </w:t>
      </w:r>
      <w:r w:rsidR="00404402">
        <w:t>EaP total,</w:t>
      </w:r>
      <w:r w:rsidR="00F936B4">
        <w:t xml:space="preserve"> 2003-2017</w:t>
      </w:r>
    </w:p>
    <w:p w14:paraId="1CE1EC52" w14:textId="3E471F13" w:rsidR="00F936B4" w:rsidRPr="00391335" w:rsidRDefault="00100B9C" w:rsidP="00F936B4">
      <w:pPr>
        <w:pStyle w:val="Figure"/>
      </w:pPr>
      <w:r>
        <w:rPr>
          <w:noProof/>
          <w:lang w:eastAsia="en-GB"/>
        </w:rPr>
        <w:drawing>
          <wp:inline distT="0" distB="0" distL="0" distR="0" wp14:anchorId="078BE69D" wp14:editId="38844FB5">
            <wp:extent cx="5040000" cy="4900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0000" cy="4900914"/>
                    </a:xfrm>
                    <a:prstGeom prst="rect">
                      <a:avLst/>
                    </a:prstGeom>
                    <a:noFill/>
                  </pic:spPr>
                </pic:pic>
              </a:graphicData>
            </a:graphic>
          </wp:inline>
        </w:drawing>
      </w:r>
    </w:p>
    <w:p w14:paraId="13BA82A8" w14:textId="544B3585" w:rsidR="001D474A" w:rsidRDefault="00F936B4" w:rsidP="000C26A6">
      <w:pPr>
        <w:pStyle w:val="Sourcenotes"/>
      </w:pPr>
      <w:r w:rsidRPr="00454399">
        <w:rPr>
          <w:i/>
        </w:rPr>
        <w:t>Source</w:t>
      </w:r>
      <w:r>
        <w:t>: Financial Times (2018).</w:t>
      </w:r>
    </w:p>
    <w:p w14:paraId="3579B5D3" w14:textId="6CC802FC" w:rsidR="00F936B4" w:rsidRDefault="003F5160" w:rsidP="00F936B4">
      <w:pPr>
        <w:pStyle w:val="Heading2"/>
        <w:rPr>
          <w:rFonts w:hint="eastAsia"/>
        </w:rPr>
      </w:pPr>
      <w:bookmarkStart w:id="25" w:name="_Toc31228346"/>
      <w:bookmarkStart w:id="26" w:name="_Toc31983277"/>
      <w:bookmarkStart w:id="27" w:name="_Toc33443288"/>
      <w:r>
        <w:t>F</w:t>
      </w:r>
      <w:r w:rsidR="002012F2">
        <w:t>oreign investors contribute</w:t>
      </w:r>
      <w:r w:rsidR="00ED4C9B">
        <w:t xml:space="preserve"> to innovation</w:t>
      </w:r>
      <w:bookmarkEnd w:id="25"/>
      <w:r w:rsidR="002012F2">
        <w:t xml:space="preserve"> capacity</w:t>
      </w:r>
      <w:bookmarkEnd w:id="26"/>
      <w:bookmarkEnd w:id="27"/>
    </w:p>
    <w:p w14:paraId="19412DF5" w14:textId="011A42C1" w:rsidR="00F936B4" w:rsidRDefault="00F936B4" w:rsidP="00F936B4">
      <w:pPr>
        <w:pStyle w:val="Para0"/>
      </w:pPr>
      <w:r>
        <w:t xml:space="preserve">Foreign investment can benefit a host economy beyond raising its stock of capital. Under the right conditions, FDI can enhance growth and innovation, create quality jobs, develop human capital, and raise living standards and environmental sustainability. In other words, FDI can generate positive socio-economic and environmental impacts in </w:t>
      </w:r>
      <w:r w:rsidR="0009270B">
        <w:t>EaP countries</w:t>
      </w:r>
      <w:r>
        <w:t xml:space="preserve"> that help make progress towards the Sustainable Development Goals (SDGs).</w:t>
      </w:r>
    </w:p>
    <w:p w14:paraId="562303A4" w14:textId="1E16932B" w:rsidR="00F936B4" w:rsidRDefault="00F936B4" w:rsidP="00C01CC0">
      <w:pPr>
        <w:pStyle w:val="Para0"/>
      </w:pPr>
      <w:r>
        <w:t xml:space="preserve">Realising these gains is not a given, however. </w:t>
      </w:r>
      <w:r w:rsidRPr="0078735D">
        <w:t xml:space="preserve">While, in </w:t>
      </w:r>
      <w:r w:rsidR="00CD1C3F" w:rsidRPr="0078735D">
        <w:t>princip</w:t>
      </w:r>
      <w:r w:rsidR="00CD1C3F">
        <w:t>le</w:t>
      </w:r>
      <w:r w:rsidRPr="0078735D">
        <w:t xml:space="preserve">, FDI has the potential to advance sustainable development, private sector incentives and </w:t>
      </w:r>
      <w:r>
        <w:t xml:space="preserve">the policy context play a critical </w:t>
      </w:r>
      <w:r w:rsidRPr="0078735D">
        <w:t>role in realising this potential</w:t>
      </w:r>
      <w:r>
        <w:t xml:space="preserve">. This review examines how reforms in selected policy areas can promote investment and, through investment, structural transformation in the </w:t>
      </w:r>
      <w:r>
        <w:lastRenderedPageBreak/>
        <w:t>region. This section takes a broader view of FDI impacts, and examines new OECD indicators that link FDI to productivity, innovation, job quality, skills, gender equality, and energy efficiency (</w:t>
      </w:r>
      <w:r w:rsidRPr="00D17FB4">
        <w:t>Box 1.1</w:t>
      </w:r>
      <w:r>
        <w:t>).</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936B4" w14:paraId="37E442B5" w14:textId="77777777" w:rsidTr="005F4D22">
        <w:trPr>
          <w:jc w:val="center"/>
        </w:trPr>
        <w:tc>
          <w:tcPr>
            <w:tcW w:w="9309" w:type="dxa"/>
            <w:shd w:val="clear" w:color="auto" w:fill="E1E6EB"/>
          </w:tcPr>
          <w:p w14:paraId="184F8BEA" w14:textId="4EC6FC12" w:rsidR="00F936B4" w:rsidRDefault="00F936B4" w:rsidP="005F4D22">
            <w:pPr>
              <w:pStyle w:val="Caption"/>
              <w:keepNext w:val="0"/>
            </w:pPr>
            <w:bookmarkStart w:id="28" w:name="_Toc31983226"/>
            <w:bookmarkStart w:id="29" w:name="_Toc33443343"/>
            <w:r>
              <w:t xml:space="preserve">Box </w:t>
            </w:r>
            <w:fldSimple w:instr=" STYLEREF 1 \s ">
              <w:r w:rsidR="004B1200">
                <w:rPr>
                  <w:noProof/>
                </w:rPr>
                <w:t>1</w:t>
              </w:r>
            </w:fldSimple>
            <w:r>
              <w:t>.</w:t>
            </w:r>
            <w:r>
              <w:rPr>
                <w:noProof/>
              </w:rPr>
              <w:fldChar w:fldCharType="begin"/>
            </w:r>
            <w:r>
              <w:rPr>
                <w:noProof/>
              </w:rPr>
              <w:instrText xml:space="preserve"> SEQ Box \* ARABIC \s 1 </w:instrText>
            </w:r>
            <w:r>
              <w:rPr>
                <w:noProof/>
              </w:rPr>
              <w:fldChar w:fldCharType="separate"/>
            </w:r>
            <w:r w:rsidR="004B1200">
              <w:rPr>
                <w:noProof/>
              </w:rPr>
              <w:t>1</w:t>
            </w:r>
            <w:r>
              <w:rPr>
                <w:noProof/>
              </w:rPr>
              <w:fldChar w:fldCharType="end"/>
            </w:r>
            <w:r>
              <w:t xml:space="preserve">. </w:t>
            </w:r>
            <w:r w:rsidRPr="00A03E2E">
              <w:t xml:space="preserve">The </w:t>
            </w:r>
            <w:r>
              <w:t xml:space="preserve">OECD </w:t>
            </w:r>
            <w:r w:rsidRPr="00A03E2E">
              <w:t>FDI Qualities Indicators</w:t>
            </w:r>
            <w:bookmarkEnd w:id="28"/>
            <w:bookmarkEnd w:id="29"/>
          </w:p>
          <w:p w14:paraId="3EB7419C" w14:textId="77777777" w:rsidR="00F936B4" w:rsidRPr="008B291A" w:rsidRDefault="00F936B4" w:rsidP="005F4D22">
            <w:pPr>
              <w:pStyle w:val="Para0"/>
              <w:keepNext/>
              <w:keepLines/>
              <w:rPr>
                <w:sz w:val="20"/>
              </w:rPr>
            </w:pPr>
            <w:r w:rsidRPr="008B291A">
              <w:rPr>
                <w:sz w:val="20"/>
              </w:rPr>
              <w:t>FDI Qualities Indicators describe how FDI relates to specific aspects of sustainable development in</w:t>
            </w:r>
            <w:r>
              <w:rPr>
                <w:sz w:val="20"/>
              </w:rPr>
              <w:t xml:space="preserve"> </w:t>
            </w:r>
            <w:r w:rsidRPr="008B291A">
              <w:rPr>
                <w:sz w:val="20"/>
              </w:rPr>
              <w:t>host countries. They are structured around economic, social and environmental sustainability. An</w:t>
            </w:r>
            <w:r>
              <w:rPr>
                <w:sz w:val="20"/>
              </w:rPr>
              <w:t xml:space="preserve"> </w:t>
            </w:r>
            <w:r w:rsidRPr="008B291A">
              <w:rPr>
                <w:sz w:val="20"/>
              </w:rPr>
              <w:t>in-depth assessment of all 17 SDGs, and their corresponding targets, was undertaken to identify the</w:t>
            </w:r>
            <w:r>
              <w:rPr>
                <w:sz w:val="20"/>
              </w:rPr>
              <w:t xml:space="preserve"> </w:t>
            </w:r>
            <w:r w:rsidRPr="008B291A">
              <w:rPr>
                <w:sz w:val="20"/>
              </w:rPr>
              <w:t>full spectrum of FDI Qualities – that is, areas where FDI may contribute to achieving the SDGs.</w:t>
            </w:r>
            <w:r>
              <w:rPr>
                <w:sz w:val="20"/>
              </w:rPr>
              <w:t xml:space="preserve"> </w:t>
            </w:r>
            <w:r w:rsidRPr="008B291A">
              <w:rPr>
                <w:sz w:val="20"/>
              </w:rPr>
              <w:t>This assessment further considers the extent to which FDI potential for advancing the SDGs is</w:t>
            </w:r>
            <w:r>
              <w:rPr>
                <w:sz w:val="20"/>
              </w:rPr>
              <w:t xml:space="preserve"> </w:t>
            </w:r>
            <w:r w:rsidRPr="008B291A">
              <w:rPr>
                <w:sz w:val="20"/>
              </w:rPr>
              <w:t>reflected in the OECD Policy Framework of Investment, including related frameworks and</w:t>
            </w:r>
            <w:r>
              <w:rPr>
                <w:sz w:val="20"/>
              </w:rPr>
              <w:t xml:space="preserve"> </w:t>
            </w:r>
            <w:r w:rsidRPr="008B291A">
              <w:rPr>
                <w:sz w:val="20"/>
              </w:rPr>
              <w:t>guidelines, such as the OECD Guidelines on Multinational Enterprises and the OECD Policy</w:t>
            </w:r>
            <w:r>
              <w:rPr>
                <w:sz w:val="20"/>
              </w:rPr>
              <w:t xml:space="preserve"> </w:t>
            </w:r>
            <w:r w:rsidRPr="008B291A">
              <w:rPr>
                <w:sz w:val="20"/>
              </w:rPr>
              <w:t>Guidance for Investment in Clean Energy Infrastructure.</w:t>
            </w:r>
          </w:p>
          <w:p w14:paraId="175CE0F4" w14:textId="77777777" w:rsidR="00F936B4" w:rsidRPr="008B291A" w:rsidRDefault="00F936B4" w:rsidP="005F4D22">
            <w:pPr>
              <w:pStyle w:val="Para0"/>
              <w:keepNext/>
              <w:keepLines/>
              <w:rPr>
                <w:sz w:val="20"/>
              </w:rPr>
            </w:pPr>
            <w:r w:rsidRPr="008B291A">
              <w:rPr>
                <w:sz w:val="20"/>
              </w:rPr>
              <w:t>The FDI Qualities Indicators focus on five clusters: productivity and innovation, employment and</w:t>
            </w:r>
            <w:r>
              <w:rPr>
                <w:sz w:val="20"/>
              </w:rPr>
              <w:t xml:space="preserve"> </w:t>
            </w:r>
            <w:r w:rsidRPr="008B291A">
              <w:rPr>
                <w:sz w:val="20"/>
              </w:rPr>
              <w:t>job quality, skills, gender equality, and carbon footprint. For each of the five clusters, a number of</w:t>
            </w:r>
            <w:r>
              <w:rPr>
                <w:sz w:val="20"/>
              </w:rPr>
              <w:t xml:space="preserve"> </w:t>
            </w:r>
            <w:r w:rsidRPr="008B291A">
              <w:rPr>
                <w:sz w:val="20"/>
              </w:rPr>
              <w:t>different outcomes are identified and used to produce indicators that relate them to FDI or activity</w:t>
            </w:r>
            <w:r>
              <w:rPr>
                <w:sz w:val="20"/>
              </w:rPr>
              <w:t xml:space="preserve"> </w:t>
            </w:r>
            <w:r w:rsidRPr="008B291A">
              <w:rPr>
                <w:sz w:val="20"/>
              </w:rPr>
              <w:t>of foreign multinationals, allowing for comparisons both within and across clusters so as to identify</w:t>
            </w:r>
            <w:r>
              <w:rPr>
                <w:sz w:val="20"/>
              </w:rPr>
              <w:t xml:space="preserve"> </w:t>
            </w:r>
            <w:r w:rsidRPr="008B291A">
              <w:rPr>
                <w:sz w:val="20"/>
              </w:rPr>
              <w:t>potential sustainability trade-offs.</w:t>
            </w:r>
          </w:p>
          <w:p w14:paraId="612EBDF7" w14:textId="77777777" w:rsidR="00F936B4" w:rsidRDefault="00F936B4" w:rsidP="005F4D22">
            <w:pPr>
              <w:pStyle w:val="Para0"/>
              <w:keepNext/>
              <w:keepLines/>
              <w:rPr>
                <w:sz w:val="20"/>
              </w:rPr>
            </w:pPr>
            <w:r w:rsidRPr="008B291A">
              <w:rPr>
                <w:sz w:val="20"/>
              </w:rPr>
              <w:t>Taking into account the country-specific context, policymakers can use FDI Qualities Indicators to</w:t>
            </w:r>
            <w:r>
              <w:rPr>
                <w:sz w:val="20"/>
              </w:rPr>
              <w:t xml:space="preserve"> </w:t>
            </w:r>
            <w:r w:rsidRPr="008B291A">
              <w:rPr>
                <w:sz w:val="20"/>
              </w:rPr>
              <w:t>assess how FDI supports national policy objectives, where challenges lie, and in what areas policy</w:t>
            </w:r>
            <w:r>
              <w:rPr>
                <w:sz w:val="20"/>
              </w:rPr>
              <w:t xml:space="preserve"> </w:t>
            </w:r>
            <w:r w:rsidRPr="008B291A">
              <w:rPr>
                <w:sz w:val="20"/>
              </w:rPr>
              <w:t>action is needed. Indicators also allow cross-country comparisons and benchmarking against</w:t>
            </w:r>
            <w:r>
              <w:rPr>
                <w:sz w:val="20"/>
              </w:rPr>
              <w:t xml:space="preserve"> </w:t>
            </w:r>
            <w:r w:rsidRPr="008B291A">
              <w:rPr>
                <w:sz w:val="20"/>
              </w:rPr>
              <w:t>regional peers or income groups, which, taking into account the country context, can help to identify</w:t>
            </w:r>
            <w:r>
              <w:rPr>
                <w:sz w:val="20"/>
              </w:rPr>
              <w:t xml:space="preserve"> </w:t>
            </w:r>
            <w:r w:rsidRPr="008B291A">
              <w:rPr>
                <w:sz w:val="20"/>
              </w:rPr>
              <w:t>good practices and make evidence-based policy decisions.</w:t>
            </w:r>
          </w:p>
          <w:p w14:paraId="593A97F4" w14:textId="77777777" w:rsidR="00F936B4" w:rsidRDefault="00F936B4" w:rsidP="005F4D22">
            <w:pPr>
              <w:pStyle w:val="Sourcenotes"/>
            </w:pPr>
            <w:r w:rsidRPr="00CE05F2">
              <w:rPr>
                <w:i/>
              </w:rPr>
              <w:t>Source</w:t>
            </w:r>
            <w:r>
              <w:t>: OECD (2019)</w:t>
            </w:r>
          </w:p>
        </w:tc>
      </w:tr>
    </w:tbl>
    <w:p w14:paraId="4ADFF624" w14:textId="77777777" w:rsidR="00F936B4" w:rsidRDefault="00F936B4" w:rsidP="00F936B4">
      <w:pPr>
        <w:pStyle w:val="Para"/>
        <w:numPr>
          <w:ilvl w:val="0"/>
          <w:numId w:val="0"/>
        </w:numPr>
        <w:ind w:left="680"/>
      </w:pPr>
    </w:p>
    <w:p w14:paraId="0C27BFD8" w14:textId="77777777" w:rsidR="00794372" w:rsidRDefault="0085254A" w:rsidP="0085254A">
      <w:pPr>
        <w:pStyle w:val="Para"/>
        <w:numPr>
          <w:ilvl w:val="0"/>
          <w:numId w:val="0"/>
        </w:numPr>
        <w:ind w:left="680"/>
      </w:pPr>
      <w:r>
        <w:t xml:space="preserve">The FDI Qualities Indicators do not point to systematically different performance of foreign and domestic investors with respect to the selected </w:t>
      </w:r>
      <w:r w:rsidR="009820DA">
        <w:t>sustainab</w:t>
      </w:r>
      <w:r>
        <w:t>le</w:t>
      </w:r>
      <w:r w:rsidR="009820DA">
        <w:t xml:space="preserve"> </w:t>
      </w:r>
      <w:r>
        <w:t xml:space="preserve">development </w:t>
      </w:r>
      <w:r w:rsidR="009820DA">
        <w:t>outcomes</w:t>
      </w:r>
      <w:r>
        <w:t xml:space="preserve">, particularly with respect to average levels of labour productivity, energy efficiency, wages, </w:t>
      </w:r>
      <w:r w:rsidR="002D459B">
        <w:t xml:space="preserve">skills intensity </w:t>
      </w:r>
      <w:r>
        <w:t xml:space="preserve">or gender employment equality </w:t>
      </w:r>
      <w:r w:rsidR="009820DA">
        <w:t>(Figure 1.5).</w:t>
      </w:r>
      <w:r w:rsidR="0060576E">
        <w:t xml:space="preserve"> </w:t>
      </w:r>
      <w:r>
        <w:t>Nevertheless, s</w:t>
      </w:r>
      <w:r w:rsidR="0060576E">
        <w:t xml:space="preserve">ome consistent differences, do emerge. For instance, while there is no evidence </w:t>
      </w:r>
      <w:r w:rsidR="002D459B">
        <w:t>of differential employment of female workers</w:t>
      </w:r>
      <w:r w:rsidR="0060576E">
        <w:t xml:space="preserve"> (</w:t>
      </w:r>
      <w:r>
        <w:t>Panel C), employment of female managers is somewhat lower in foreign firms relative to domestic firms (Panel D), suggesting that FDI is not necessarily associated with greater female empowerment.</w:t>
      </w:r>
      <w:r w:rsidR="002D459B">
        <w:t xml:space="preserve"> This is in contrast to Southern Mediterranean countries, where foreign firms are universally associated with better gender</w:t>
      </w:r>
      <w:r w:rsidR="00794372">
        <w:t>-</w:t>
      </w:r>
      <w:r w:rsidR="002D459B">
        <w:t>related outcomes relative to domestic firms</w:t>
      </w:r>
      <w:r w:rsidR="00794372">
        <w:t>.</w:t>
      </w:r>
    </w:p>
    <w:p w14:paraId="0B0DB76B" w14:textId="42EC1ECD" w:rsidR="0060576E" w:rsidRDefault="00794372" w:rsidP="00794372">
      <w:pPr>
        <w:pStyle w:val="Para"/>
        <w:numPr>
          <w:ilvl w:val="0"/>
          <w:numId w:val="0"/>
        </w:numPr>
        <w:ind w:left="680"/>
      </w:pPr>
      <w:r>
        <w:t xml:space="preserve">In terms of labour-market outcomes, </w:t>
      </w:r>
      <w:r w:rsidR="002D459B">
        <w:t xml:space="preserve">foreign investors </w:t>
      </w:r>
      <w:r>
        <w:t xml:space="preserve">in EaP countries tend to offer greater job security than domestic peers (Panel H), but fewer training opportunities </w:t>
      </w:r>
      <w:r w:rsidR="002D459B">
        <w:t xml:space="preserve">(Panel G), which is a missed opportunity for FDI-induced skills upgrading. </w:t>
      </w:r>
      <w:r>
        <w:t>By comparison</w:t>
      </w:r>
      <w:r w:rsidR="002D459B">
        <w:t>,</w:t>
      </w:r>
      <w:r>
        <w:t xml:space="preserve"> foreign firms in Southeast Europe are associated </w:t>
      </w:r>
      <w:r w:rsidR="00631587">
        <w:t xml:space="preserve">with </w:t>
      </w:r>
      <w:r>
        <w:t xml:space="preserve">higher </w:t>
      </w:r>
      <w:r w:rsidR="00631587">
        <w:t>average</w:t>
      </w:r>
      <w:r>
        <w:t xml:space="preserve"> wages (Panel E), greater use of unskilled labour (Panel F), greater propensity to train workers (Panel G), and greater job security (H), </w:t>
      </w:r>
      <w:r w:rsidR="00631587">
        <w:t xml:space="preserve">and are thereby likely to contribute </w:t>
      </w:r>
      <w:r>
        <w:t>to better working conditions for low-skilled workers.</w:t>
      </w:r>
    </w:p>
    <w:p w14:paraId="1669FEBF" w14:textId="05CACF50" w:rsidR="002D459B" w:rsidRDefault="002D459B" w:rsidP="0085254A">
      <w:pPr>
        <w:pStyle w:val="Para"/>
        <w:numPr>
          <w:ilvl w:val="0"/>
          <w:numId w:val="0"/>
        </w:numPr>
        <w:ind w:left="680"/>
      </w:pPr>
      <w:r>
        <w:t xml:space="preserve">One area in which FDI appears to make a clear contribution </w:t>
      </w:r>
      <w:r w:rsidR="00631587">
        <w:t xml:space="preserve">in EaP countries </w:t>
      </w:r>
      <w:r>
        <w:t>is that of innovation. Foreign firms in EaP countries perform significantly better than domestic peers across three out of four dimensions of innovation capacity; namely, product innovation (Panel I), process innovation (Panel J), and greater use of foreign technologies (Panel L)</w:t>
      </w:r>
      <w:r w:rsidR="00631587">
        <w:t xml:space="preserve">. </w:t>
      </w:r>
      <w:r w:rsidR="00631587">
        <w:lastRenderedPageBreak/>
        <w:t>This is an important result given the high priority given to high-tech and innovative investments across EaP countries.</w:t>
      </w:r>
    </w:p>
    <w:p w14:paraId="507FE4A9" w14:textId="14BD7C16" w:rsidR="003801F4" w:rsidRDefault="003801F4" w:rsidP="0085254A">
      <w:pPr>
        <w:pStyle w:val="Para"/>
        <w:numPr>
          <w:ilvl w:val="0"/>
          <w:numId w:val="0"/>
        </w:numPr>
        <w:ind w:left="680"/>
      </w:pPr>
      <w:r>
        <w:t xml:space="preserve">It is important to </w:t>
      </w:r>
      <w:r w:rsidR="00CB69DE">
        <w:t>bear in mind</w:t>
      </w:r>
      <w:r>
        <w:t xml:space="preserve"> that </w:t>
      </w:r>
      <w:r w:rsidR="002971F0">
        <w:t xml:space="preserve">the FDI Qualities indicators come with some limitations. Most importantly, the indicators do not isolate causal effects, or the direction of causality. This means that the indicators are agnostic about whether FDI causes an outcome or vice versa, or whether correlations are driven by third factors. The indicators represent correlations and require contextualisation and additional information for interpretation, </w:t>
      </w:r>
      <w:r w:rsidR="004C6075">
        <w:t>but provide some direction on what mechanisms are at play for a given outcome</w:t>
      </w:r>
      <w:r w:rsidR="009B0C02">
        <w:t xml:space="preserve"> (OECD, 2019</w:t>
      </w:r>
      <w:r w:rsidR="00DE359E">
        <w:t>a</w:t>
      </w:r>
      <w:r w:rsidR="009B0C02">
        <w:t>)</w:t>
      </w:r>
      <w:r w:rsidR="002971F0">
        <w:t>.</w:t>
      </w:r>
    </w:p>
    <w:p w14:paraId="083F7DF7" w14:textId="5230B1F0" w:rsidR="005E11C4" w:rsidRDefault="005E11C4" w:rsidP="00A725AF">
      <w:pPr>
        <w:pStyle w:val="Caption"/>
      </w:pPr>
      <w:bookmarkStart w:id="30" w:name="_Toc31983245"/>
      <w:bookmarkStart w:id="31" w:name="_Toc33443329"/>
      <w:r>
        <w:t xml:space="preserve">Figure </w:t>
      </w:r>
      <w:fldSimple w:instr=" STYLEREF 1 \s ">
        <w:r w:rsidR="004B1200">
          <w:rPr>
            <w:noProof/>
          </w:rPr>
          <w:t>1</w:t>
        </w:r>
      </w:fldSimple>
      <w:r>
        <w:t>.</w:t>
      </w:r>
      <w:r>
        <w:rPr>
          <w:noProof/>
        </w:rPr>
        <w:fldChar w:fldCharType="begin"/>
      </w:r>
      <w:r>
        <w:rPr>
          <w:noProof/>
        </w:rPr>
        <w:instrText xml:space="preserve"> SEQ Figure \* ARABIC \s 1 </w:instrText>
      </w:r>
      <w:r>
        <w:rPr>
          <w:noProof/>
        </w:rPr>
        <w:fldChar w:fldCharType="separate"/>
      </w:r>
      <w:r w:rsidR="004B1200">
        <w:rPr>
          <w:noProof/>
        </w:rPr>
        <w:t>5</w:t>
      </w:r>
      <w:r>
        <w:rPr>
          <w:noProof/>
        </w:rPr>
        <w:fldChar w:fldCharType="end"/>
      </w:r>
      <w:r>
        <w:t xml:space="preserve">. </w:t>
      </w:r>
      <w:r w:rsidR="00294B55">
        <w:t>Selected SDG outcomes of FDI</w:t>
      </w:r>
      <w:bookmarkEnd w:id="30"/>
      <w:bookmarkEnd w:id="31"/>
    </w:p>
    <w:p w14:paraId="77C41631" w14:textId="4B2AC6C8" w:rsidR="005E11C4" w:rsidRPr="005E11C4" w:rsidRDefault="0060576E" w:rsidP="00A725AF">
      <w:pPr>
        <w:pStyle w:val="Figure"/>
      </w:pPr>
      <w:r w:rsidRPr="0060576E">
        <w:rPr>
          <w:noProof/>
          <w:lang w:eastAsia="en-GB"/>
        </w:rPr>
        <w:drawing>
          <wp:inline distT="0" distB="0" distL="0" distR="0" wp14:anchorId="44F44836" wp14:editId="30BCA590">
            <wp:extent cx="5040000" cy="4579629"/>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000" cy="4579629"/>
                    </a:xfrm>
                    <a:prstGeom prst="rect">
                      <a:avLst/>
                    </a:prstGeom>
                    <a:noFill/>
                    <a:ln>
                      <a:noFill/>
                    </a:ln>
                  </pic:spPr>
                </pic:pic>
              </a:graphicData>
            </a:graphic>
          </wp:inline>
        </w:drawing>
      </w:r>
    </w:p>
    <w:p w14:paraId="7C7714CA" w14:textId="110A9BF2" w:rsidR="0085254A" w:rsidRDefault="0060576E" w:rsidP="006A2920">
      <w:pPr>
        <w:pStyle w:val="Sourcenotes"/>
      </w:pPr>
      <w:r>
        <w:rPr>
          <w:i/>
        </w:rPr>
        <w:t xml:space="preserve">Notes: </w:t>
      </w:r>
      <w:r w:rsidR="00F006B3">
        <w:t>The figure includes confidence intervals that indicate statistical significance at the 95% level. If the confidence interval crosses the zero line, the difference between foreign and domestic firms is statistically insignificant.</w:t>
      </w:r>
      <w:r w:rsidR="00750AAD">
        <w:t xml:space="preserve"> Job security is measured as the share of workers with permanent contracts. </w:t>
      </w:r>
      <w:r w:rsidR="0085254A">
        <w:t>For further details, see OECD (2019a)</w:t>
      </w:r>
      <w:r w:rsidR="00467231">
        <w:t>.</w:t>
      </w:r>
    </w:p>
    <w:p w14:paraId="3C591E5A" w14:textId="0CBB908B" w:rsidR="00CA64DE" w:rsidRDefault="005E11C4" w:rsidP="006A2920">
      <w:pPr>
        <w:pStyle w:val="Sourcenotes"/>
      </w:pPr>
      <w:r w:rsidRPr="00454399">
        <w:rPr>
          <w:i/>
        </w:rPr>
        <w:t>Source</w:t>
      </w:r>
      <w:r>
        <w:t xml:space="preserve">: based on </w:t>
      </w:r>
      <w:r w:rsidR="00694B93">
        <w:t>OECD (2019a).</w:t>
      </w:r>
    </w:p>
    <w:p w14:paraId="5ADE1B4D" w14:textId="704B1C14" w:rsidR="006A2920" w:rsidRDefault="00597E35" w:rsidP="0077347A">
      <w:pPr>
        <w:pStyle w:val="Heading9"/>
      </w:pPr>
      <w:bookmarkStart w:id="32" w:name="_Toc31983278"/>
      <w:bookmarkStart w:id="33" w:name="_Toc33443289"/>
      <w:r>
        <w:lastRenderedPageBreak/>
        <w:t>Sectoral composition of FDI by</w:t>
      </w:r>
      <w:r w:rsidR="0077347A">
        <w:t xml:space="preserve"> country</w:t>
      </w:r>
      <w:bookmarkEnd w:id="32"/>
      <w:bookmarkEnd w:id="33"/>
    </w:p>
    <w:p w14:paraId="41E6B6AC" w14:textId="1F593E73" w:rsidR="00A747A4" w:rsidRDefault="00A747A4" w:rsidP="00263CAB">
      <w:pPr>
        <w:pStyle w:val="Caption"/>
      </w:pPr>
      <w:bookmarkStart w:id="34" w:name="_Toc31983240"/>
      <w:bookmarkStart w:id="35" w:name="_Toc33443342"/>
      <w:bookmarkStart w:id="36" w:name="_Toc31228347"/>
      <w:r>
        <w:t xml:space="preserve">Annex Figure </w:t>
      </w:r>
      <w:fldSimple w:instr=" STYLEREF 9 \s ">
        <w:r w:rsidR="004B1200">
          <w:rPr>
            <w:noProof/>
          </w:rPr>
          <w:t>1.A</w:t>
        </w:r>
      </w:fldSimple>
      <w:r>
        <w:t>.</w:t>
      </w:r>
      <w:r>
        <w:rPr>
          <w:noProof/>
        </w:rPr>
        <w:fldChar w:fldCharType="begin"/>
      </w:r>
      <w:r>
        <w:rPr>
          <w:noProof/>
        </w:rPr>
        <w:instrText xml:space="preserve"> SEQ Annex_Figure \* ARABIC \s 9 </w:instrText>
      </w:r>
      <w:r>
        <w:rPr>
          <w:noProof/>
        </w:rPr>
        <w:fldChar w:fldCharType="separate"/>
      </w:r>
      <w:r w:rsidR="004B1200">
        <w:rPr>
          <w:noProof/>
        </w:rPr>
        <w:t>1</w:t>
      </w:r>
      <w:r>
        <w:rPr>
          <w:noProof/>
        </w:rPr>
        <w:fldChar w:fldCharType="end"/>
      </w:r>
      <w:r>
        <w:t xml:space="preserve">. </w:t>
      </w:r>
      <w:r w:rsidR="006D17B3">
        <w:t>Distribution of greenfield projects by sector</w:t>
      </w:r>
      <w:r w:rsidR="00597E35">
        <w:t xml:space="preserve"> and country</w:t>
      </w:r>
      <w:bookmarkEnd w:id="34"/>
      <w:bookmarkEnd w:id="35"/>
    </w:p>
    <w:p w14:paraId="4AFAC3F1" w14:textId="14E72FA3" w:rsidR="00A747A4" w:rsidRDefault="00A17466" w:rsidP="00A17466">
      <w:pPr>
        <w:pStyle w:val="CaptionSubtitle"/>
      </w:pPr>
      <w:r>
        <w:t>Value of announced greenfield FDI projects</w:t>
      </w:r>
      <w:r w:rsidR="00D71700">
        <w:t>, 2003-2017</w:t>
      </w:r>
    </w:p>
    <w:p w14:paraId="113BDE21" w14:textId="540499DE" w:rsidR="00A747A4" w:rsidRDefault="00BA0664" w:rsidP="00263CAB">
      <w:pPr>
        <w:pStyle w:val="Figure"/>
        <w:rPr>
          <w:i/>
        </w:rPr>
      </w:pPr>
      <w:r w:rsidRPr="00BA0664">
        <w:rPr>
          <w:noProof/>
          <w:lang w:eastAsia="en-GB"/>
        </w:rPr>
        <w:drawing>
          <wp:inline distT="0" distB="0" distL="0" distR="0" wp14:anchorId="46ABDE59" wp14:editId="6AD02CA6">
            <wp:extent cx="5040000" cy="65397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000" cy="6539759"/>
                    </a:xfrm>
                    <a:prstGeom prst="rect">
                      <a:avLst/>
                    </a:prstGeom>
                    <a:noFill/>
                    <a:ln>
                      <a:noFill/>
                    </a:ln>
                  </pic:spPr>
                </pic:pic>
              </a:graphicData>
            </a:graphic>
          </wp:inline>
        </w:drawing>
      </w:r>
    </w:p>
    <w:p w14:paraId="6B884A6D" w14:textId="2F736F4C" w:rsidR="00A747A4" w:rsidRPr="00454399" w:rsidRDefault="00A17466" w:rsidP="00A17466">
      <w:pPr>
        <w:pStyle w:val="Sourcenotes"/>
      </w:pPr>
      <w:r w:rsidRPr="00454399">
        <w:rPr>
          <w:i/>
        </w:rPr>
        <w:t>Source</w:t>
      </w:r>
      <w:r>
        <w:t>: Financial Times (2018)</w:t>
      </w:r>
      <w:r w:rsidR="00A747A4">
        <w:t>.</w:t>
      </w:r>
    </w:p>
    <w:p w14:paraId="377976E4" w14:textId="45F6980D" w:rsidR="00336613" w:rsidRDefault="00336613" w:rsidP="00B028A9">
      <w:pPr>
        <w:pStyle w:val="Heading1"/>
        <w:rPr>
          <w:rFonts w:hint="eastAsia"/>
        </w:rPr>
      </w:pPr>
      <w:bookmarkStart w:id="37" w:name="_Toc31983279"/>
      <w:bookmarkStart w:id="38" w:name="_Toc33443290"/>
      <w:r>
        <w:lastRenderedPageBreak/>
        <w:t>FDI liberalisation</w:t>
      </w:r>
      <w:bookmarkEnd w:id="36"/>
      <w:bookmarkEnd w:id="37"/>
      <w:bookmarkEnd w:id="38"/>
    </w:p>
    <w:p w14:paraId="6B3EB2E8" w14:textId="34D0EC1B" w:rsidR="00EA5D26" w:rsidRDefault="00EA5D26" w:rsidP="00EA5D26">
      <w:pPr>
        <w:pStyle w:val="Para0"/>
      </w:pPr>
      <w:r>
        <w:t>The legal framework for investment is the cornerstone of an enabling investment environment. Investment policy refers to the laws, regulations and policies relating to the admission of investors; the rules once established; and the protection of their property. The non-discrimination principle, the degree of openness to foreign investment, the protection of investors’ property rights, and mechanisms for settling investment disputes are some of the critical elements underpinning a good investment policy. This chapter focuses on market access and exceptions to national treatment, assessed through the measurement of statutory restrictions to FDI.</w:t>
      </w:r>
    </w:p>
    <w:p w14:paraId="2FDF448D" w14:textId="1AE556C6" w:rsidR="004E2D5E" w:rsidRDefault="004E2D5E" w:rsidP="004E2D5E">
      <w:pPr>
        <w:pStyle w:val="Heading2"/>
        <w:rPr>
          <w:rFonts w:hint="eastAsia"/>
        </w:rPr>
      </w:pPr>
      <w:bookmarkStart w:id="39" w:name="_Toc31983280"/>
      <w:bookmarkStart w:id="40" w:name="_Toc33443291"/>
      <w:r>
        <w:t>Main findings</w:t>
      </w:r>
      <w:bookmarkEnd w:id="39"/>
      <w:bookmarkEnd w:id="40"/>
    </w:p>
    <w:p w14:paraId="380394E8" w14:textId="2031DE7F" w:rsidR="003017A3" w:rsidRDefault="003801F4" w:rsidP="00D2656C">
      <w:pPr>
        <w:pStyle w:val="Para0"/>
        <w:tabs>
          <w:tab w:val="left" w:pos="2242"/>
        </w:tabs>
      </w:pPr>
      <w:r>
        <w:t>On the whole EaP countries have advanced liberalisation of FDI regimes substantially, and</w:t>
      </w:r>
      <w:r w:rsidR="00B66A1E">
        <w:t xml:space="preserve"> market entry and treatment conditions applicable to foreign investors are relatively attractive. </w:t>
      </w:r>
      <w:r w:rsidR="00F67DC6">
        <w:t xml:space="preserve">Only Ukraine applies discriminatory screening procedures, and, with few exceptions, sectoral restrictions are broadly consistent with OECD practices. </w:t>
      </w:r>
      <w:r w:rsidR="00AF17E5">
        <w:t>R</w:t>
      </w:r>
      <w:r w:rsidR="00F67DC6">
        <w:t xml:space="preserve">estrictions related to land use </w:t>
      </w:r>
      <w:r w:rsidR="00AF17E5">
        <w:t>can often be circumvented through local incorporation, or long-term leases.</w:t>
      </w:r>
      <w:r w:rsidR="00C312F7">
        <w:t xml:space="preserve"> FDI in manufacturing is allowed without exceptions, and restrictions to FDI in services are limited mainly to legal and financial services in Belarus</w:t>
      </w:r>
      <w:r w:rsidR="003F0B32">
        <w:t xml:space="preserve"> and Azerbaijan</w:t>
      </w:r>
      <w:r w:rsidR="00C312F7">
        <w:t>.</w:t>
      </w:r>
    </w:p>
    <w:p w14:paraId="30F9B765" w14:textId="1820ADEF" w:rsidR="000F0AA3" w:rsidRDefault="000F0AA3" w:rsidP="000F0AA3">
      <w:pPr>
        <w:pStyle w:val="Para0"/>
      </w:pPr>
      <w:r w:rsidRPr="00FA3421">
        <w:t>Foreign investors still need to review myriad sectoral laws and regulations to understand the market access and treatment conditions applicable specifically to them</w:t>
      </w:r>
      <w:r w:rsidR="00566FD0">
        <w:t>.</w:t>
      </w:r>
      <w:r w:rsidRPr="00FA3421">
        <w:t xml:space="preserve"> </w:t>
      </w:r>
      <w:r w:rsidR="00566FD0">
        <w:t>O</w:t>
      </w:r>
      <w:r w:rsidRPr="00FA3421">
        <w:t>ften there is no English translation at all – and sometimes official online sources do not even offer the regulations in the original language. While any possible lack of clarity is supposedly less of a concern for investors more familiar with the practices in the region, they make the regime relatively more opaque for potential new investors.</w:t>
      </w:r>
    </w:p>
    <w:p w14:paraId="122865D3" w14:textId="02E7F204" w:rsidR="00C9370E" w:rsidRDefault="00C9370E" w:rsidP="00C9370E">
      <w:pPr>
        <w:pStyle w:val="Heading3"/>
      </w:pPr>
      <w:r>
        <w:t>Key recommendations</w:t>
      </w:r>
    </w:p>
    <w:p w14:paraId="5DD015B4" w14:textId="6C5E4517" w:rsidR="00FA3421" w:rsidRDefault="002D78C1" w:rsidP="00263CAB">
      <w:pPr>
        <w:pStyle w:val="BulletedList"/>
      </w:pPr>
      <w:r>
        <w:t>C</w:t>
      </w:r>
      <w:r w:rsidR="00FA3421">
        <w:t>onsider i</w:t>
      </w:r>
      <w:r w:rsidR="003F0B32" w:rsidRPr="00FA3421">
        <w:t>mproving the legibility of the legal framework for foreign inv</w:t>
      </w:r>
      <w:r w:rsidR="00FA3421">
        <w:t>estors, for instance by establishing</w:t>
      </w:r>
      <w:r w:rsidR="003F0B32" w:rsidRPr="00FA3421">
        <w:t xml:space="preserve"> a foreign investment negative list clearly delimiting the sectors where foreign investment is prohibited or conditioned</w:t>
      </w:r>
      <w:r>
        <w:t>,</w:t>
      </w:r>
      <w:r w:rsidR="003F0B32" w:rsidRPr="00FA3421">
        <w:t xml:space="preserve"> and outlining which discriminatory conditions apply</w:t>
      </w:r>
      <w:r w:rsidR="008B5FC9">
        <w:t xml:space="preserve"> (as is already the case in Ukraine)</w:t>
      </w:r>
      <w:r w:rsidR="00FA3421">
        <w:t xml:space="preserve">. Translating relevant legislation to English and </w:t>
      </w:r>
      <w:r w:rsidR="000F0AA3">
        <w:t xml:space="preserve">making it available in </w:t>
      </w:r>
      <w:r w:rsidR="006413C2">
        <w:t>existing</w:t>
      </w:r>
      <w:r w:rsidR="000F0AA3">
        <w:t xml:space="preserve"> centralised official online source</w:t>
      </w:r>
      <w:r w:rsidR="006413C2">
        <w:t>s</w:t>
      </w:r>
      <w:r w:rsidR="000F0AA3">
        <w:t xml:space="preserve"> would greatly improve clarity and transparency</w:t>
      </w:r>
      <w:r w:rsidR="00F452E1">
        <w:t xml:space="preserve"> </w:t>
      </w:r>
      <w:r w:rsidR="009521C6">
        <w:t>with respect to</w:t>
      </w:r>
      <w:r w:rsidR="00F452E1">
        <w:t xml:space="preserve"> </w:t>
      </w:r>
      <w:r>
        <w:t>EaP countries’</w:t>
      </w:r>
      <w:r w:rsidR="00F452E1">
        <w:t xml:space="preserve"> FDI regime</w:t>
      </w:r>
      <w:r w:rsidR="00C130EB">
        <w:t>s</w:t>
      </w:r>
      <w:r w:rsidR="00F452E1">
        <w:t>.</w:t>
      </w:r>
    </w:p>
    <w:p w14:paraId="778D6FB3" w14:textId="572F1772" w:rsidR="00FE1BFE" w:rsidRDefault="00FE1BFE" w:rsidP="00FE1BFE">
      <w:pPr>
        <w:pStyle w:val="BulletedList"/>
        <w:tabs>
          <w:tab w:val="clear" w:pos="360"/>
          <w:tab w:val="num" w:pos="340"/>
        </w:tabs>
      </w:pPr>
      <w:r w:rsidRPr="00FA3421">
        <w:t xml:space="preserve">Azerbaijan and Belarus </w:t>
      </w:r>
      <w:r>
        <w:t>may</w:t>
      </w:r>
      <w:r w:rsidRPr="00FA3421">
        <w:t xml:space="preserve"> consider liberalising the FDI regime</w:t>
      </w:r>
      <w:r>
        <w:t>s</w:t>
      </w:r>
      <w:r w:rsidRPr="00FA3421">
        <w:t xml:space="preserve"> for legal and financial services, as limited productivity in these services may indirectly constrain productivity growth in downstream manufacturing sectors.</w:t>
      </w:r>
    </w:p>
    <w:p w14:paraId="49D2E97C" w14:textId="4DFD541B" w:rsidR="00336613" w:rsidRDefault="002E3972" w:rsidP="00150B6F">
      <w:pPr>
        <w:pStyle w:val="Title2"/>
        <w:rPr>
          <w:rFonts w:hint="eastAsia"/>
        </w:rPr>
      </w:pPr>
      <w:bookmarkStart w:id="41" w:name="_Toc31228348"/>
      <w:bookmarkStart w:id="42" w:name="_Toc31983281"/>
      <w:bookmarkStart w:id="43" w:name="_Toc33443292"/>
      <w:r>
        <w:t>Markets are open and exceptions to national treatment are limited</w:t>
      </w:r>
      <w:bookmarkEnd w:id="41"/>
      <w:bookmarkEnd w:id="42"/>
      <w:bookmarkEnd w:id="43"/>
    </w:p>
    <w:p w14:paraId="068F0B61" w14:textId="65AC2D48" w:rsidR="002E3972" w:rsidRPr="002E3972" w:rsidRDefault="002E3972" w:rsidP="002E3972">
      <w:pPr>
        <w:pStyle w:val="Para0"/>
      </w:pPr>
      <w:r w:rsidRPr="002E3972">
        <w:t xml:space="preserve">An open and non-discriminatory investment environment is a central tenet of an attractive investment climate. It helps to ensure that all investors are treated alike in like circumstances, irrespective of their ownership. One of the concepts derived from the principle of non-discrimination in the context of foreign investment is that of national </w:t>
      </w:r>
      <w:r w:rsidRPr="002E3972">
        <w:lastRenderedPageBreak/>
        <w:t>treatment, which requires that governments treat foreign-owned or foreign-controlled enterprises no less favourably than domestic enterprises in like situations (OECD, 2015a).</w:t>
      </w:r>
    </w:p>
    <w:p w14:paraId="51D327A5" w14:textId="59AF197C" w:rsidR="002E3972" w:rsidRPr="002E3972" w:rsidRDefault="002E3972" w:rsidP="002E3972">
      <w:pPr>
        <w:pStyle w:val="Para0"/>
      </w:pPr>
      <w:r w:rsidRPr="002E3972">
        <w:t xml:space="preserve">No economy, including </w:t>
      </w:r>
      <w:r>
        <w:t>EaP</w:t>
      </w:r>
      <w:r w:rsidRPr="002E3972">
        <w:t xml:space="preserve"> and OECD economies, accords market access or national treatment to foreign-owned enterprises in their territories across the board. Despite the potential benefits of FDI being generally accepted across the </w:t>
      </w:r>
      <w:r>
        <w:t>EaP</w:t>
      </w:r>
      <w:r w:rsidRPr="002E3972">
        <w:t xml:space="preserve"> governments, and FDI attraction having become an important policy tool to finance development in many economies, concerns over the loss of national sovereignty and the protection of national interests continue to lead governments to discriminate or impose statutory restrictions on foreign direct investments. While there have been great FDI liberalisation efforts in manufacturing industries, where governments have more readily accepted the benefits of FDI, some services and primary sectors still remain partly off limits to foreign investors, although this varies greatly across economies.</w:t>
      </w:r>
    </w:p>
    <w:p w14:paraId="2E9EB913" w14:textId="75BDAE2B" w:rsidR="002E3972" w:rsidRPr="002E3972" w:rsidRDefault="001424F1" w:rsidP="002E3972">
      <w:pPr>
        <w:pStyle w:val="Para0"/>
      </w:pPr>
      <w:r>
        <w:t xml:space="preserve">The following analysis </w:t>
      </w:r>
      <w:r w:rsidR="002E3972" w:rsidRPr="002E3972">
        <w:t xml:space="preserve">uses the OECD FDI Regulatory Restrictiveness Index </w:t>
      </w:r>
      <w:r>
        <w:t xml:space="preserve">(the </w:t>
      </w:r>
      <w:r w:rsidRPr="001424F1">
        <w:rPr>
          <w:i/>
        </w:rPr>
        <w:t>FDI Index</w:t>
      </w:r>
      <w:r>
        <w:t xml:space="preserve">) </w:t>
      </w:r>
      <w:r w:rsidR="002E3972" w:rsidRPr="002E3972">
        <w:t>to assess and benchmark market access and exceptions to national treatment</w:t>
      </w:r>
      <w:r w:rsidR="000531FC">
        <w:t xml:space="preserve"> </w:t>
      </w:r>
      <w:r w:rsidR="000531FC" w:rsidRPr="002E3972">
        <w:t xml:space="preserve">(see Box </w:t>
      </w:r>
      <w:r w:rsidR="000531FC">
        <w:t>2</w:t>
      </w:r>
      <w:r w:rsidR="000531FC" w:rsidRPr="002E3972">
        <w:t>.1)</w:t>
      </w:r>
      <w:r w:rsidR="002E3972" w:rsidRPr="002E3972">
        <w:t>. This index gauges the level of restrictiveness of an economy’s statutory measures on FDI by looking at f</w:t>
      </w:r>
      <w:r w:rsidR="000531FC">
        <w:t>our main types of restrictions:</w:t>
      </w:r>
      <w:r w:rsidR="006A4E82">
        <w:t xml:space="preserve"> </w:t>
      </w:r>
      <w:r w:rsidR="006A4E82">
        <w:rPr>
          <w:i/>
        </w:rPr>
        <w:t xml:space="preserve">1) </w:t>
      </w:r>
      <w:r w:rsidR="000531FC">
        <w:t>foreign equity limitations;</w:t>
      </w:r>
      <w:r w:rsidR="006A4E82">
        <w:t xml:space="preserve"> </w:t>
      </w:r>
      <w:r w:rsidR="006A4E82">
        <w:rPr>
          <w:i/>
        </w:rPr>
        <w:t xml:space="preserve">2) </w:t>
      </w:r>
      <w:r w:rsidR="002E3972" w:rsidRPr="002E3972">
        <w:t xml:space="preserve">discriminatory screening and approval mechanisms for foreign </w:t>
      </w:r>
      <w:r w:rsidR="000531FC">
        <w:t>investment;</w:t>
      </w:r>
      <w:r w:rsidR="006A4E82">
        <w:t xml:space="preserve"> </w:t>
      </w:r>
      <w:r w:rsidR="006A4E82">
        <w:rPr>
          <w:i/>
        </w:rPr>
        <w:t xml:space="preserve">3) </w:t>
      </w:r>
      <w:r w:rsidR="002E3972" w:rsidRPr="002E3972">
        <w:t xml:space="preserve">restrictions on the employment of key foreign personnel; and </w:t>
      </w:r>
      <w:r w:rsidR="006A4E82">
        <w:rPr>
          <w:i/>
        </w:rPr>
        <w:t xml:space="preserve">4) </w:t>
      </w:r>
      <w:r w:rsidR="002E3972" w:rsidRPr="002E3972">
        <w:t>other operational restrictions (e.g. restrictions on branching and capital repatriation or land ownership)</w:t>
      </w:r>
      <w:r w:rsidR="000531FC">
        <w:t>.</w:t>
      </w:r>
      <w:r w:rsidR="002E3972" w:rsidRPr="002E3972">
        <w:t xml:space="preserve"> The index is not a full measure of </w:t>
      </w:r>
      <w:r w:rsidR="0016757A">
        <w:t>investment climate attractiveness</w:t>
      </w:r>
      <w:r w:rsidR="002E3972" w:rsidRPr="002E3972">
        <w:t xml:space="preserve"> – a range of other factors come into play, including how FDI rules are implemented. Nonetheless, FDI rules are a critical determinant of an economy’s attractiveness to foreign investors, and benchmarking such policies helps governments to see how they compare with their peers in terms of the restrictiveness of their FDI regimes.</w:t>
      </w:r>
    </w:p>
    <w:p w14:paraId="0B1986F9" w14:textId="39D78081" w:rsidR="0070715F" w:rsidRDefault="002E3972" w:rsidP="00175188">
      <w:pPr>
        <w:pStyle w:val="Para0"/>
      </w:pPr>
      <w:r w:rsidRPr="009954E2">
        <w:t xml:space="preserve">Overall, openness to FDI varies greatly across economies and regions (Figure </w:t>
      </w:r>
      <w:r w:rsidR="0079322D" w:rsidRPr="009954E2">
        <w:t>2</w:t>
      </w:r>
      <w:r w:rsidRPr="009954E2">
        <w:t>.</w:t>
      </w:r>
      <w:r w:rsidR="0079322D" w:rsidRPr="009954E2">
        <w:t>1</w:t>
      </w:r>
      <w:r w:rsidRPr="009954E2">
        <w:t xml:space="preserve">). Larger economies and those in the Asia-Pacific region tend to be more restrictive on average. </w:t>
      </w:r>
      <w:r w:rsidR="009954E2">
        <w:t xml:space="preserve">Smaller European economies tend to </w:t>
      </w:r>
      <w:r w:rsidRPr="009954E2">
        <w:t xml:space="preserve">the most open to FDI as measured by the </w:t>
      </w:r>
      <w:r w:rsidRPr="001424F1">
        <w:rPr>
          <w:i/>
        </w:rPr>
        <w:t>FDI Index</w:t>
      </w:r>
      <w:r w:rsidRPr="009954E2">
        <w:t xml:space="preserve">. </w:t>
      </w:r>
      <w:r w:rsidR="001424F1">
        <w:t>Substantial variation is observed across EaP countries</w:t>
      </w:r>
      <w:r w:rsidR="00EF1749">
        <w:t>:</w:t>
      </w:r>
      <w:r w:rsidR="009954E2">
        <w:t xml:space="preserve"> Georgia and Armenia </w:t>
      </w:r>
      <w:r w:rsidR="00EF1749">
        <w:t xml:space="preserve">are </w:t>
      </w:r>
      <w:r w:rsidR="009954E2">
        <w:t>among the most open economies covered by the index</w:t>
      </w:r>
      <w:r w:rsidR="00276EE5">
        <w:t>;</w:t>
      </w:r>
      <w:r w:rsidR="009954E2">
        <w:t xml:space="preserve"> </w:t>
      </w:r>
      <w:r w:rsidR="00EF1749">
        <w:t xml:space="preserve">Moldova’s FDI regime is very </w:t>
      </w:r>
      <w:r w:rsidR="009954E2">
        <w:t xml:space="preserve">close to </w:t>
      </w:r>
      <w:r w:rsidR="00EF1749">
        <w:t xml:space="preserve">the </w:t>
      </w:r>
      <w:r w:rsidR="009954E2">
        <w:t xml:space="preserve">average OECD </w:t>
      </w:r>
      <w:r w:rsidR="00EF1749">
        <w:t>economy;</w:t>
      </w:r>
      <w:r w:rsidR="009954E2">
        <w:t xml:space="preserve"> </w:t>
      </w:r>
      <w:r w:rsidR="00337337">
        <w:t xml:space="preserve">Azerbaijan and </w:t>
      </w:r>
      <w:r w:rsidR="00276EE5">
        <w:t>Belarus</w:t>
      </w:r>
      <w:r w:rsidR="001424F1">
        <w:t xml:space="preserve"> </w:t>
      </w:r>
      <w:r w:rsidR="00337337">
        <w:t>are</w:t>
      </w:r>
      <w:r w:rsidR="00EF1749">
        <w:t xml:space="preserve"> slightly more restrictive but broadly in line</w:t>
      </w:r>
      <w:r w:rsidR="00EF1749" w:rsidRPr="00EF1749">
        <w:rPr>
          <w:rFonts w:cs="Times New Roman"/>
        </w:rPr>
        <w:t xml:space="preserve"> </w:t>
      </w:r>
      <w:r w:rsidR="00EF1749">
        <w:rPr>
          <w:rFonts w:cs="Times New Roman"/>
        </w:rPr>
        <w:t>with OECD practices</w:t>
      </w:r>
      <w:r w:rsidR="00EF1749">
        <w:t>; while</w:t>
      </w:r>
      <w:r w:rsidR="009954E2">
        <w:t xml:space="preserve"> Ukraine</w:t>
      </w:r>
      <w:r w:rsidR="00337337">
        <w:t>’s</w:t>
      </w:r>
      <w:r w:rsidR="00EF1749">
        <w:t xml:space="preserve"> FDI regime </w:t>
      </w:r>
      <w:r w:rsidR="00337337">
        <w:t>is</w:t>
      </w:r>
      <w:r w:rsidR="009954E2">
        <w:t xml:space="preserve"> close to average </w:t>
      </w:r>
      <w:r w:rsidR="00337337">
        <w:t>level of restrictiveness of</w:t>
      </w:r>
      <w:r w:rsidR="00276EE5">
        <w:t xml:space="preserve"> non-OECD econo</w:t>
      </w:r>
      <w:r w:rsidR="009954E2">
        <w:t>mies.</w:t>
      </w:r>
      <w:r w:rsidR="0070715F">
        <w:t xml:space="preserve"> Overal</w:t>
      </w:r>
      <w:r w:rsidR="00337337">
        <w:t>l, in the region,</w:t>
      </w:r>
      <w:r w:rsidR="0070715F">
        <w:t xml:space="preserve"> t</w:t>
      </w:r>
      <w:r w:rsidR="0070715F" w:rsidRPr="00276EE5">
        <w:t xml:space="preserve">he rules concerning foreign investors on their own are unlikely to constitute a major impediment to </w:t>
      </w:r>
      <w:r w:rsidR="0070715F">
        <w:t>attracting investments</w:t>
      </w:r>
      <w:r w:rsidR="0070715F" w:rsidRPr="00276EE5">
        <w:t>.</w:t>
      </w:r>
    </w:p>
    <w:p w14:paraId="7B9EE100" w14:textId="1604A587" w:rsidR="003C30AE" w:rsidRDefault="005E7639" w:rsidP="00550A7C">
      <w:pPr>
        <w:pStyle w:val="Para0"/>
      </w:pPr>
      <w:r>
        <w:t>While the FDI regimes of EaP countries vary in openness, t</w:t>
      </w:r>
      <w:r w:rsidR="00175188" w:rsidRPr="00276EE5">
        <w:t xml:space="preserve">he distribution of restrictions by sector </w:t>
      </w:r>
      <w:r w:rsidR="00EF1749">
        <w:t>is fairly consistent with what is observed in the OECD</w:t>
      </w:r>
      <w:r>
        <w:t xml:space="preserve"> </w:t>
      </w:r>
      <w:r w:rsidR="001424F1">
        <w:t xml:space="preserve">(Figure 2.2). </w:t>
      </w:r>
      <w:r>
        <w:t>Few sectors stand out as unusually restrictive compared to OECD levels, including media (</w:t>
      </w:r>
      <w:r w:rsidR="0070715F">
        <w:t xml:space="preserve">in </w:t>
      </w:r>
      <w:r>
        <w:t xml:space="preserve">all </w:t>
      </w:r>
      <w:r w:rsidR="0070715F">
        <w:t xml:space="preserve">countries </w:t>
      </w:r>
      <w:r w:rsidR="00232B82">
        <w:t>except Georgia),</w:t>
      </w:r>
      <w:r>
        <w:t xml:space="preserve"> agriculture</w:t>
      </w:r>
      <w:r w:rsidR="00232B82">
        <w:t xml:space="preserve"> (Ukraine, Moldova, Georgia),</w:t>
      </w:r>
      <w:r>
        <w:t xml:space="preserve"> and </w:t>
      </w:r>
      <w:r w:rsidR="0070715F">
        <w:t xml:space="preserve">legal and financial </w:t>
      </w:r>
      <w:r>
        <w:t xml:space="preserve">services </w:t>
      </w:r>
      <w:r w:rsidR="0070715F">
        <w:t>(</w:t>
      </w:r>
      <w:r>
        <w:t>Belarus</w:t>
      </w:r>
      <w:r w:rsidR="0070715F">
        <w:t>, Azerbaijan)</w:t>
      </w:r>
      <w:r>
        <w:t>.</w:t>
      </w:r>
      <w:r w:rsidR="00AB6D66">
        <w:t xml:space="preserve"> </w:t>
      </w:r>
      <w:r w:rsidR="00232B82">
        <w:t xml:space="preserve">Ukraine also has a stricter FDI regime in transport and real estate. </w:t>
      </w:r>
      <w:r w:rsidR="0070715F">
        <w:t>These are all sectors which commonly face FDI restrictions in OECD and non-OECD economies.</w:t>
      </w:r>
    </w:p>
    <w:p w14:paraId="1B653C54" w14:textId="77777777" w:rsidR="00C312F7" w:rsidRPr="00232B82" w:rsidRDefault="00C312F7" w:rsidP="00C312F7">
      <w:pPr>
        <w:pStyle w:val="Para0"/>
        <w:rPr>
          <w:highlight w:val="cyan"/>
        </w:rPr>
      </w:pPr>
      <w:r>
        <w:t xml:space="preserve">Sometimes a horizontal measure applies across the board. Ukraine, for instance, is the only EaP country to make use of </w:t>
      </w:r>
      <w:r w:rsidRPr="00F40A08">
        <w:t>discriminatory screening and approval mechanisms for regulating the entry and operations of foreign investors.</w:t>
      </w:r>
      <w:r>
        <w:t xml:space="preserve"> Moldova requires foreign investor to incorporate as a local legal entity in </w:t>
      </w:r>
      <w:r w:rsidRPr="00D24643">
        <w:t>all sectors except banking and investment management</w:t>
      </w:r>
      <w:r>
        <w:t>. F</w:t>
      </w:r>
      <w:r w:rsidRPr="00232B82">
        <w:t xml:space="preserve">oreign ownership of land for business operations is </w:t>
      </w:r>
      <w:r>
        <w:t xml:space="preserve">also </w:t>
      </w:r>
      <w:r w:rsidRPr="00232B82">
        <w:t xml:space="preserve">often subject to restrictions, which can however be circumvented by establishing a local legal entity </w:t>
      </w:r>
      <w:r w:rsidRPr="00232B82">
        <w:lastRenderedPageBreak/>
        <w:t>(Azerbaijan, Moldova, Belarus). Armenia, Georgia and Ukraine impose no restrictions on foreign ownership of land for business purposes.</w:t>
      </w:r>
    </w:p>
    <w:p w14:paraId="15C8341E" w14:textId="77777777" w:rsidR="00C312F7" w:rsidRDefault="00C312F7" w:rsidP="00C312F7">
      <w:pPr>
        <w:pStyle w:val="Para0"/>
      </w:pPr>
      <w:r>
        <w:t xml:space="preserve">Land ownership and use restrictions also affect agriculture. </w:t>
      </w:r>
      <w:r w:rsidRPr="00D24643">
        <w:t>A similar regime applies to foreign investors in the agriculture sector in Moldova and Ukraine, which prohibits foreigners from owning agricultural land</w:t>
      </w:r>
      <w:r>
        <w:t>, whether or not they are locally incorporated. Foreign-controlled locally established enterprises are, nevertheless allowed to lease land for agricultural use. In Georgia, foreign ownership of agricultural land is restricted to 50% of equity. Less restrictive regimes apply in Azerbaijan and Belarus, where restrictions to agricultural land ownership apply only to foreign legal entities, which are entitled to long-term land leases (up to 100 years).</w:t>
      </w:r>
    </w:p>
    <w:p w14:paraId="4B4EF699" w14:textId="77777777" w:rsidR="00C312F7" w:rsidRDefault="00C312F7" w:rsidP="00550A7C">
      <w:pPr>
        <w:pStyle w:val="Para0"/>
      </w:pP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B73067" w:rsidRPr="00B73067" w14:paraId="7915374E" w14:textId="77777777" w:rsidTr="00667EE6">
        <w:trPr>
          <w:jc w:val="center"/>
        </w:trPr>
        <w:tc>
          <w:tcPr>
            <w:tcW w:w="9309" w:type="dxa"/>
            <w:shd w:val="clear" w:color="auto" w:fill="E1E6EB"/>
          </w:tcPr>
          <w:p w14:paraId="13ED3DC1" w14:textId="1AD9AABB" w:rsidR="00B73067" w:rsidRDefault="00B73067" w:rsidP="00667EE6">
            <w:pPr>
              <w:pStyle w:val="Caption"/>
              <w:keepNext w:val="0"/>
            </w:pPr>
            <w:bookmarkStart w:id="44" w:name="_Toc31983227"/>
            <w:bookmarkStart w:id="45" w:name="_Toc33443344"/>
            <w:r>
              <w:t xml:space="preserve">Box </w:t>
            </w:r>
            <w:fldSimple w:instr=" STYLEREF 1 \s ">
              <w:r w:rsidR="004B1200">
                <w:rPr>
                  <w:noProof/>
                </w:rPr>
                <w:t>2</w:t>
              </w:r>
            </w:fldSimple>
            <w:r>
              <w:t>.</w:t>
            </w:r>
            <w:r>
              <w:rPr>
                <w:noProof/>
              </w:rPr>
              <w:fldChar w:fldCharType="begin"/>
            </w:r>
            <w:r>
              <w:rPr>
                <w:noProof/>
              </w:rPr>
              <w:instrText xml:space="preserve"> SEQ Box \* ARABIC \s 1 </w:instrText>
            </w:r>
            <w:r>
              <w:rPr>
                <w:noProof/>
              </w:rPr>
              <w:fldChar w:fldCharType="separate"/>
            </w:r>
            <w:r w:rsidR="004B1200">
              <w:rPr>
                <w:noProof/>
              </w:rPr>
              <w:t>1</w:t>
            </w:r>
            <w:r>
              <w:rPr>
                <w:noProof/>
              </w:rPr>
              <w:fldChar w:fldCharType="end"/>
            </w:r>
            <w:r>
              <w:t xml:space="preserve">. The OECD </w:t>
            </w:r>
            <w:r w:rsidRPr="003C30AE">
              <w:rPr>
                <w:i/>
              </w:rPr>
              <w:t>FDI Regulatory Restrictiveness Index</w:t>
            </w:r>
            <w:bookmarkEnd w:id="44"/>
            <w:bookmarkEnd w:id="45"/>
          </w:p>
          <w:p w14:paraId="4205BB96" w14:textId="77777777" w:rsidR="00B73067" w:rsidRPr="00B73067" w:rsidRDefault="00B73067" w:rsidP="00B73067">
            <w:pPr>
              <w:pStyle w:val="Para0"/>
              <w:rPr>
                <w:sz w:val="20"/>
              </w:rPr>
            </w:pPr>
            <w:r w:rsidRPr="00B73067">
              <w:rPr>
                <w:sz w:val="20"/>
              </w:rPr>
              <w:t>The OECD FDI Regulatory Restrictiveness Index seeks to gauge the restrictiveness of an economy’s FDI rules. The FDI Index is currently available for more than 60 economies, including all OECD and G20 members, allowing one to compare FDI policies and identify potential areas for reform. It is commonly used on a stand-alone basis to assess the restrictiveness of FDI policies when reviewing candidates for OECD accession and in OECD Investment Policy Reviews, including reviews of new adherent countries to the OECD Declaration on International Investment and Multinational Enterprises. The index does not provide a full measure of an economy’s investment climate as it does not score the actual implementation of formal restrictions and does not take into account other aspects of the investment regulatory framework, such as the extent of state ownership, and other institutional and informal restrictions which may also impinge on the FDI climate. Nonetheless, FDI rules are a critical determinant of an economy’s attractiveness to foreign investors; and the index, used in combination with other indicators measuring the various aspects of the FDI climate, may help to explain variations among economies in attracting FDI.</w:t>
            </w:r>
          </w:p>
          <w:p w14:paraId="275D6CE5" w14:textId="2E639C3A" w:rsidR="00B73067" w:rsidRPr="00B73067" w:rsidRDefault="00B73067" w:rsidP="00B73067">
            <w:pPr>
              <w:pStyle w:val="Para0"/>
              <w:rPr>
                <w:sz w:val="20"/>
              </w:rPr>
            </w:pPr>
            <w:r w:rsidRPr="00B73067">
              <w:rPr>
                <w:sz w:val="20"/>
              </w:rPr>
              <w:t xml:space="preserve">The FDI Index covers 22 sectors, including agriculture, mining, electricity, manufacturing and main services (transports, construction, distribution, communications, real estate, </w:t>
            </w:r>
            <w:r w:rsidR="0048744D">
              <w:rPr>
                <w:sz w:val="20"/>
              </w:rPr>
              <w:t xml:space="preserve">and </w:t>
            </w:r>
            <w:r w:rsidRPr="00B73067">
              <w:rPr>
                <w:sz w:val="20"/>
              </w:rPr>
              <w:t>financial and professional services). For each sector, the scoring is based on the following elements:</w:t>
            </w:r>
          </w:p>
          <w:p w14:paraId="147C60CD" w14:textId="5FB68CF9" w:rsidR="00B73067" w:rsidRDefault="00220FF0" w:rsidP="003F7D67">
            <w:pPr>
              <w:pStyle w:val="BulletedList"/>
              <w:contextualSpacing/>
              <w:rPr>
                <w:sz w:val="20"/>
              </w:rPr>
            </w:pPr>
            <w:r w:rsidRPr="00220FF0">
              <w:rPr>
                <w:sz w:val="20"/>
              </w:rPr>
              <w:t>the level of foreign equity ownership permitted</w:t>
            </w:r>
            <w:r w:rsidR="0048744D">
              <w:rPr>
                <w:sz w:val="20"/>
              </w:rPr>
              <w:t>;</w:t>
            </w:r>
          </w:p>
          <w:p w14:paraId="788752C7" w14:textId="51AC6A9A" w:rsidR="00220FF0" w:rsidRDefault="00220FF0" w:rsidP="003F7D67">
            <w:pPr>
              <w:pStyle w:val="BulletedList"/>
              <w:contextualSpacing/>
              <w:rPr>
                <w:sz w:val="20"/>
              </w:rPr>
            </w:pPr>
            <w:r w:rsidRPr="00220FF0">
              <w:rPr>
                <w:sz w:val="20"/>
              </w:rPr>
              <w:t>the screening and approval procedures applied to inward foreign direct investment</w:t>
            </w:r>
            <w:r w:rsidR="0048744D">
              <w:rPr>
                <w:sz w:val="20"/>
              </w:rPr>
              <w:t>;</w:t>
            </w:r>
          </w:p>
          <w:p w14:paraId="7CBCB2C1" w14:textId="7E6EAAB2" w:rsidR="00220FF0" w:rsidRDefault="00220FF0" w:rsidP="003F7D67">
            <w:pPr>
              <w:pStyle w:val="BulletedList"/>
              <w:contextualSpacing/>
              <w:rPr>
                <w:sz w:val="20"/>
              </w:rPr>
            </w:pPr>
            <w:r w:rsidRPr="00220FF0">
              <w:rPr>
                <w:sz w:val="20"/>
              </w:rPr>
              <w:t>restrictions on key foreign personnel</w:t>
            </w:r>
            <w:r>
              <w:rPr>
                <w:sz w:val="20"/>
              </w:rPr>
              <w:t xml:space="preserve"> (e.g. CEO, technical expert)</w:t>
            </w:r>
            <w:r w:rsidR="0048744D">
              <w:rPr>
                <w:sz w:val="20"/>
              </w:rPr>
              <w:t>; and</w:t>
            </w:r>
          </w:p>
          <w:p w14:paraId="066F6CA8" w14:textId="0D1BBE78" w:rsidR="00220FF0" w:rsidRPr="00220FF0" w:rsidRDefault="00220FF0" w:rsidP="003F7D67">
            <w:pPr>
              <w:pStyle w:val="BulletedList"/>
              <w:contextualSpacing/>
              <w:rPr>
                <w:sz w:val="20"/>
              </w:rPr>
            </w:pPr>
            <w:r w:rsidRPr="00220FF0">
              <w:rPr>
                <w:sz w:val="20"/>
              </w:rPr>
              <w:t xml:space="preserve">other </w:t>
            </w:r>
            <w:r>
              <w:rPr>
                <w:sz w:val="20"/>
              </w:rPr>
              <w:t xml:space="preserve">operational </w:t>
            </w:r>
            <w:r w:rsidRPr="00220FF0">
              <w:rPr>
                <w:sz w:val="20"/>
              </w:rPr>
              <w:t xml:space="preserve">restrictions </w:t>
            </w:r>
            <w:r>
              <w:rPr>
                <w:sz w:val="20"/>
              </w:rPr>
              <w:t xml:space="preserve">(e.g. </w:t>
            </w:r>
            <w:r w:rsidRPr="00220FF0">
              <w:rPr>
                <w:sz w:val="20"/>
              </w:rPr>
              <w:t>land ownership,</w:t>
            </w:r>
            <w:r w:rsidR="003F7D67">
              <w:rPr>
                <w:sz w:val="20"/>
              </w:rPr>
              <w:t xml:space="preserve"> branching</w:t>
            </w:r>
            <w:r>
              <w:rPr>
                <w:sz w:val="20"/>
              </w:rPr>
              <w:t>, profit repatriation</w:t>
            </w:r>
            <w:r w:rsidRPr="00220FF0">
              <w:rPr>
                <w:sz w:val="20"/>
              </w:rPr>
              <w:t>)</w:t>
            </w:r>
            <w:r w:rsidR="003F7D67">
              <w:rPr>
                <w:sz w:val="20"/>
              </w:rPr>
              <w:t>.</w:t>
            </w:r>
          </w:p>
          <w:p w14:paraId="75D9AFAA" w14:textId="77777777" w:rsidR="00B73067" w:rsidRPr="00B73067" w:rsidRDefault="00B73067" w:rsidP="00B73067">
            <w:pPr>
              <w:pStyle w:val="Para0"/>
              <w:rPr>
                <w:sz w:val="20"/>
              </w:rPr>
            </w:pPr>
            <w:r w:rsidRPr="00B73067">
              <w:rPr>
                <w:sz w:val="20"/>
              </w:rPr>
              <w:t>Restrictions are evaluated on a 0 (open) to 1 (closed) scale. The overall restrictiveness index is the average of the 22 individual sectoral scores. The discriminatory nature of measures, i.e. when they only apply to foreign investors, is the central criterion for scoring a measure. State ownership and state monopolies, to the extent they are not discriminatory towards foreigners, are not scored. For OECD and non-OECD country adherents to the OECD Declaration on International Investment and Multinational Enterprises, the measures taken into account by the index are limited to statutory regulatory restrictions on FDI, as reflected in their list of exceptions to national treatment and measures notified for transparency under OECD instruments, without assessing their actual enforcement. For non-OECD economies, information is collected through Investment Policy Reviews or, when not in the review process, through a dedicated questionnaire. Regulatory information is updated on a yearly basis following the monitoring of investment measures carried in the context of OECD Freedom of Investment Forum for participating economies, and on the basis of ad hoc monitoring for the remaining ones.</w:t>
            </w:r>
          </w:p>
          <w:p w14:paraId="75131B8F" w14:textId="2BA80870" w:rsidR="00B73067" w:rsidRPr="00B73067" w:rsidRDefault="00B73067" w:rsidP="00B73067">
            <w:pPr>
              <w:pStyle w:val="Sourcenotes"/>
              <w:rPr>
                <w:lang w:val="fr-FR"/>
              </w:rPr>
            </w:pPr>
            <w:r w:rsidRPr="00B73067">
              <w:rPr>
                <w:i/>
              </w:rPr>
              <w:t>Source</w:t>
            </w:r>
            <w:r w:rsidRPr="00B73067">
              <w:t>: OECD (2010), available at: www.oecd.org/daf/inv/investment-policy/WP-2010_3.pdf</w:t>
            </w:r>
            <w:r w:rsidR="00220FF0">
              <w:t>.</w:t>
            </w:r>
          </w:p>
        </w:tc>
      </w:tr>
    </w:tbl>
    <w:p w14:paraId="6AD4C15F" w14:textId="49F5E1BA" w:rsidR="00311A51" w:rsidRDefault="00311A51" w:rsidP="00667EE6">
      <w:pPr>
        <w:pStyle w:val="Caption"/>
      </w:pPr>
      <w:bookmarkStart w:id="46" w:name="_Toc31983246"/>
      <w:bookmarkStart w:id="47" w:name="_Toc33443330"/>
      <w:r>
        <w:lastRenderedPageBreak/>
        <w:t xml:space="preserve">Figure </w:t>
      </w:r>
      <w:fldSimple w:instr=" STYLEREF 1 \s ">
        <w:r w:rsidR="004B1200">
          <w:rPr>
            <w:noProof/>
          </w:rPr>
          <w:t>2</w:t>
        </w:r>
      </w:fldSimple>
      <w:r>
        <w:t>.</w:t>
      </w:r>
      <w:r>
        <w:rPr>
          <w:noProof/>
        </w:rPr>
        <w:fldChar w:fldCharType="begin"/>
      </w:r>
      <w:r>
        <w:rPr>
          <w:noProof/>
        </w:rPr>
        <w:instrText xml:space="preserve"> SEQ Figure \* ARABIC \s 1 </w:instrText>
      </w:r>
      <w:r>
        <w:rPr>
          <w:noProof/>
        </w:rPr>
        <w:fldChar w:fldCharType="separate"/>
      </w:r>
      <w:r w:rsidR="004B1200">
        <w:rPr>
          <w:noProof/>
        </w:rPr>
        <w:t>1</w:t>
      </w:r>
      <w:r>
        <w:rPr>
          <w:noProof/>
        </w:rPr>
        <w:fldChar w:fldCharType="end"/>
      </w:r>
      <w:r>
        <w:t xml:space="preserve">. OECD </w:t>
      </w:r>
      <w:r w:rsidRPr="003C30AE">
        <w:rPr>
          <w:i/>
        </w:rPr>
        <w:t>FDI Regulatory Restrictiveness Index</w:t>
      </w:r>
      <w:r>
        <w:t xml:space="preserve"> (2018)</w:t>
      </w:r>
      <w:bookmarkEnd w:id="46"/>
      <w:bookmarkEnd w:id="47"/>
    </w:p>
    <w:p w14:paraId="6E41B878" w14:textId="092ED71B" w:rsidR="00311A51" w:rsidRDefault="00AF3961" w:rsidP="00667EE6">
      <w:pPr>
        <w:pStyle w:val="Figure"/>
        <w:rPr>
          <w:i/>
        </w:rPr>
      </w:pPr>
      <w:r w:rsidRPr="00AF3961">
        <w:rPr>
          <w:noProof/>
          <w:lang w:eastAsia="en-GB"/>
        </w:rPr>
        <w:drawing>
          <wp:inline distT="0" distB="0" distL="0" distR="0" wp14:anchorId="7D5E8DFD" wp14:editId="29EFC59C">
            <wp:extent cx="5040000" cy="6942413"/>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000" cy="6942413"/>
                    </a:xfrm>
                    <a:prstGeom prst="rect">
                      <a:avLst/>
                    </a:prstGeom>
                    <a:noFill/>
                    <a:ln>
                      <a:noFill/>
                    </a:ln>
                  </pic:spPr>
                </pic:pic>
              </a:graphicData>
            </a:graphic>
          </wp:inline>
        </w:drawing>
      </w:r>
    </w:p>
    <w:p w14:paraId="6A4ED7FD" w14:textId="608FB80E" w:rsidR="00311A51" w:rsidRDefault="00311A51" w:rsidP="00667EE6">
      <w:pPr>
        <w:pStyle w:val="Sourcenotes"/>
      </w:pPr>
      <w:r w:rsidRPr="00454399">
        <w:rPr>
          <w:i/>
        </w:rPr>
        <w:t>Note</w:t>
      </w:r>
      <w:r>
        <w:t xml:space="preserve">: The OECD FDI Regulatory Restrictiveness Index only covers statutory measures discriminating against foreign investors. The implementation of regulations, </w:t>
      </w:r>
      <w:r w:rsidR="003C30AE">
        <w:t>restrictions related to national security, state monopolies</w:t>
      </w:r>
      <w:r>
        <w:t>, preferential treatment for export-oriented investors and special economic zone regimes are not considered. Data reflect regulatory restrictions as of December each year.</w:t>
      </w:r>
    </w:p>
    <w:p w14:paraId="6DC1039D" w14:textId="2F592C41" w:rsidR="00311A51" w:rsidRPr="00454399" w:rsidRDefault="00311A51" w:rsidP="00667EE6">
      <w:pPr>
        <w:pStyle w:val="Sourcenotes"/>
      </w:pPr>
      <w:r w:rsidRPr="00454399">
        <w:rPr>
          <w:i/>
        </w:rPr>
        <w:t>Source</w:t>
      </w:r>
      <w:r>
        <w:t>: OECD FDI Regulatory Restrictiveness Index (database), www.o</w:t>
      </w:r>
      <w:r w:rsidR="00276EE5">
        <w:t>ecd.org/investment/fdiindex.htm</w:t>
      </w:r>
      <w:r w:rsidR="002F7879">
        <w:t>.</w:t>
      </w:r>
    </w:p>
    <w:p w14:paraId="41F6A4C3" w14:textId="41476404" w:rsidR="00311A51" w:rsidRDefault="00311A51" w:rsidP="0079322D">
      <w:pPr>
        <w:pStyle w:val="Para0"/>
      </w:pPr>
    </w:p>
    <w:p w14:paraId="2A8A008D" w14:textId="1B679D24" w:rsidR="003C30AE" w:rsidRDefault="003C30AE" w:rsidP="00667EE6">
      <w:pPr>
        <w:pStyle w:val="Caption"/>
      </w:pPr>
      <w:bookmarkStart w:id="48" w:name="_Toc31983247"/>
      <w:bookmarkStart w:id="49" w:name="_Toc33443331"/>
      <w:r>
        <w:t xml:space="preserve">Figure </w:t>
      </w:r>
      <w:fldSimple w:instr=" STYLEREF 1 \s ">
        <w:r w:rsidR="004B1200">
          <w:rPr>
            <w:noProof/>
          </w:rPr>
          <w:t>2</w:t>
        </w:r>
      </w:fldSimple>
      <w:r>
        <w:t>.</w:t>
      </w:r>
      <w:r>
        <w:rPr>
          <w:noProof/>
        </w:rPr>
        <w:fldChar w:fldCharType="begin"/>
      </w:r>
      <w:r>
        <w:rPr>
          <w:noProof/>
        </w:rPr>
        <w:instrText xml:space="preserve"> SEQ Figure \* ARABIC \s 1 </w:instrText>
      </w:r>
      <w:r>
        <w:rPr>
          <w:noProof/>
        </w:rPr>
        <w:fldChar w:fldCharType="separate"/>
      </w:r>
      <w:r w:rsidR="004B1200">
        <w:rPr>
          <w:noProof/>
        </w:rPr>
        <w:t>2</w:t>
      </w:r>
      <w:r>
        <w:rPr>
          <w:noProof/>
        </w:rPr>
        <w:fldChar w:fldCharType="end"/>
      </w:r>
      <w:r>
        <w:t xml:space="preserve">. OECD </w:t>
      </w:r>
      <w:r w:rsidRPr="003C30AE">
        <w:rPr>
          <w:i/>
        </w:rPr>
        <w:t>FDI Regulatory Restrictiveness Index</w:t>
      </w:r>
      <w:r>
        <w:rPr>
          <w:i/>
        </w:rPr>
        <w:t xml:space="preserve"> </w:t>
      </w:r>
      <w:r>
        <w:t>by sector (2018)</w:t>
      </w:r>
      <w:bookmarkEnd w:id="48"/>
      <w:bookmarkEnd w:id="49"/>
    </w:p>
    <w:p w14:paraId="459F790D" w14:textId="6AD7DCD9" w:rsidR="003C30AE" w:rsidRDefault="00523037" w:rsidP="00667EE6">
      <w:pPr>
        <w:pStyle w:val="Figure"/>
        <w:rPr>
          <w:i/>
        </w:rPr>
      </w:pPr>
      <w:r w:rsidRPr="00523037">
        <w:rPr>
          <w:noProof/>
          <w:lang w:eastAsia="en-GB"/>
        </w:rPr>
        <w:drawing>
          <wp:inline distT="0" distB="0" distL="0" distR="0" wp14:anchorId="01F98B9E" wp14:editId="0F741204">
            <wp:extent cx="5040000" cy="62181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000" cy="6218155"/>
                    </a:xfrm>
                    <a:prstGeom prst="rect">
                      <a:avLst/>
                    </a:prstGeom>
                    <a:noFill/>
                    <a:ln>
                      <a:noFill/>
                    </a:ln>
                  </pic:spPr>
                </pic:pic>
              </a:graphicData>
            </a:graphic>
          </wp:inline>
        </w:drawing>
      </w:r>
    </w:p>
    <w:p w14:paraId="1120648E" w14:textId="77777777" w:rsidR="003C30AE" w:rsidRDefault="003C30AE" w:rsidP="003C30AE">
      <w:pPr>
        <w:pStyle w:val="Sourcenotes"/>
      </w:pPr>
      <w:r w:rsidRPr="00454399">
        <w:rPr>
          <w:i/>
        </w:rPr>
        <w:t>Note</w:t>
      </w:r>
      <w:r>
        <w:t>: The OECD FDI Regulatory Restrictiveness Index only covers statutory measures discriminating against foreign investors. The implementation of regulations, restrictions related to national security, state monopolies, preferential treatment for export-oriented investors and special economic zone regimes are not considered. Data reflect regulatory restrictions as of December each year.</w:t>
      </w:r>
    </w:p>
    <w:p w14:paraId="4F4723A1" w14:textId="2787CD1D" w:rsidR="003C30AE" w:rsidRDefault="003C30AE" w:rsidP="003C30AE">
      <w:pPr>
        <w:pStyle w:val="Sourcenotes"/>
      </w:pPr>
      <w:r w:rsidRPr="00454399">
        <w:rPr>
          <w:i/>
        </w:rPr>
        <w:t>Source</w:t>
      </w:r>
      <w:r>
        <w:t xml:space="preserve">: OECD FDI Regulatory Restrictiveness Index (database), </w:t>
      </w:r>
      <w:hyperlink r:id="rId29" w:history="1">
        <w:r w:rsidR="00175188" w:rsidRPr="002F7879">
          <w:t>www.oecd.org/investment/fdiindex.htm</w:t>
        </w:r>
      </w:hyperlink>
      <w:r w:rsidRPr="002F7879">
        <w:t>.</w:t>
      </w:r>
    </w:p>
    <w:p w14:paraId="6A95AC8C" w14:textId="77777777" w:rsidR="002F7879" w:rsidRPr="007C68D8" w:rsidRDefault="002F7879" w:rsidP="002F7879">
      <w:pPr>
        <w:pStyle w:val="Para0"/>
      </w:pPr>
      <w:r w:rsidRPr="007C68D8">
        <w:t xml:space="preserve">Aside from horizontal measures, FDI in manufacturing sectors is allowed without restrictions, except in security-related sectors (e.g. arms, ammunition) in some cases.  As </w:t>
      </w:r>
      <w:r w:rsidRPr="007C68D8">
        <w:lastRenderedPageBreak/>
        <w:t xml:space="preserve">services are an increasingly vital input to other sectors, limited productivity in service sectors may lead to barriers to competition that may in turn indirectly constrain productivity growth in downstream sectors. Such concerns may be relevant for Azerbaijan and Belarus. </w:t>
      </w:r>
    </w:p>
    <w:p w14:paraId="1FD4A8D4" w14:textId="3E1161F6" w:rsidR="002F7879" w:rsidRDefault="002F7879" w:rsidP="002F7879">
      <w:pPr>
        <w:pStyle w:val="Para0"/>
      </w:pPr>
      <w:r w:rsidRPr="00D60E27">
        <w:t>Improving the legibility of the legal framework for foreign investors would be a welcome step towards improving the overall investment climate. None of the six economies, for instance, has established a foreign investment negative list clearly delimiting the sectors where foreign investment is prohibited or conditioned and outlining which discriminatory conditions apply. Foreign investors still need to review myriad sectoral laws and regulations to understand the market access and treatment conditions applicable specifically to them; often there is no English translation at all – and sometimes official online sources do not even offer the regulations in the original language. While any possible lack of clarity is supposedly less of a concern for investors more familiar with the practices in the region, they make the regime relatively more opaque for potential new investors.</w:t>
      </w:r>
    </w:p>
    <w:p w14:paraId="3B542006" w14:textId="7EE0D014" w:rsidR="00A13646" w:rsidRDefault="00B028A9" w:rsidP="00B028A9">
      <w:pPr>
        <w:pStyle w:val="Heading1"/>
        <w:rPr>
          <w:rFonts w:hint="eastAsia"/>
        </w:rPr>
      </w:pPr>
      <w:bookmarkStart w:id="50" w:name="_Toc31228349"/>
      <w:bookmarkStart w:id="51" w:name="_Toc31983282"/>
      <w:bookmarkStart w:id="52" w:name="_Toc33443293"/>
      <w:r>
        <w:lastRenderedPageBreak/>
        <w:t>Investment promotion and facilitation</w:t>
      </w:r>
      <w:bookmarkEnd w:id="50"/>
      <w:bookmarkEnd w:id="51"/>
      <w:bookmarkEnd w:id="52"/>
    </w:p>
    <w:p w14:paraId="255D6830" w14:textId="41B7889F" w:rsidR="00B028A9" w:rsidRDefault="00D2656C" w:rsidP="00D2656C">
      <w:pPr>
        <w:pStyle w:val="Para0"/>
      </w:pPr>
      <w:r>
        <w:t xml:space="preserve">Investment promotion and facilitation policies can support the competitiveness of a country by branding it as a profitable investment destination, attracting quality investors and making it easy for businesses to establish or expand their operations. These measures can not only </w:t>
      </w:r>
      <w:r w:rsidR="0058417E">
        <w:t>increase the a</w:t>
      </w:r>
      <w:r>
        <w:t>ttractive</w:t>
      </w:r>
      <w:r w:rsidR="0058417E">
        <w:t>ness of an</w:t>
      </w:r>
      <w:r>
        <w:t xml:space="preserve"> economy but also help ensure that foreign inve</w:t>
      </w:r>
      <w:r w:rsidR="0058417E">
        <w:t>stments generate positive spill</w:t>
      </w:r>
      <w:r>
        <w:t>overs</w:t>
      </w:r>
      <w:r w:rsidR="00EC1F05">
        <w:t>,</w:t>
      </w:r>
      <w:r>
        <w:t xml:space="preserve"> </w:t>
      </w:r>
      <w:r w:rsidR="0058417E">
        <w:t xml:space="preserve">by boosting economic activity in less </w:t>
      </w:r>
      <w:r>
        <w:t>developed areas</w:t>
      </w:r>
      <w:r w:rsidR="0058417E">
        <w:t xml:space="preserve"> and transferring</w:t>
      </w:r>
      <w:r>
        <w:t xml:space="preserve"> skills </w:t>
      </w:r>
      <w:r w:rsidR="0058417E">
        <w:t>and knowledge</w:t>
      </w:r>
      <w:r>
        <w:t xml:space="preserve">. It is important that these efforts complement </w:t>
      </w:r>
      <w:r w:rsidR="00780C6C">
        <w:t>but do not replace</w:t>
      </w:r>
      <w:r>
        <w:t xml:space="preserve"> measures to ensure a sound investment policy framework.</w:t>
      </w:r>
    </w:p>
    <w:p w14:paraId="39010D0F" w14:textId="2ECFB9FD" w:rsidR="001137FF" w:rsidRDefault="001137FF" w:rsidP="00E93C98">
      <w:pPr>
        <w:pStyle w:val="Heading2"/>
        <w:rPr>
          <w:rFonts w:hint="eastAsia"/>
        </w:rPr>
      </w:pPr>
      <w:bookmarkStart w:id="53" w:name="_Toc31983283"/>
      <w:bookmarkStart w:id="54" w:name="_Toc33443294"/>
      <w:r w:rsidRPr="00E93C98">
        <w:t>Main findings</w:t>
      </w:r>
      <w:bookmarkEnd w:id="53"/>
      <w:bookmarkEnd w:id="54"/>
    </w:p>
    <w:p w14:paraId="51CB6C2D" w14:textId="76793D13" w:rsidR="00967471" w:rsidRDefault="00967471" w:rsidP="006966C0">
      <w:pPr>
        <w:pStyle w:val="Para0"/>
      </w:pPr>
      <w:r>
        <w:t xml:space="preserve">The main institutions responsible for investment promotion and facilitation in the region are: the Azerbaijan Export and Investment Promotion Foundation (AZPROMO), the </w:t>
      </w:r>
      <w:r w:rsidRPr="00DC577E">
        <w:t>National Agency of Investment and Privat</w:t>
      </w:r>
      <w:r>
        <w:t xml:space="preserve">isation of Belarus (NAIP), Enterprise Georgia, Invest in Moldova, and Ukraine Invest. The IPA of Armenia was recently dissolved </w:t>
      </w:r>
      <w:r w:rsidRPr="00432CF9">
        <w:t>as part of a Government-wide streamlining programme.</w:t>
      </w:r>
      <w:r>
        <w:t xml:space="preserve"> In fact the IPAs of the region are relatively young and undergo frequent changes in legal status and </w:t>
      </w:r>
      <w:r w:rsidRPr="00EB64D1">
        <w:t>organisational structure</w:t>
      </w:r>
      <w:r w:rsidR="006966C0">
        <w:t>.</w:t>
      </w:r>
    </w:p>
    <w:p w14:paraId="0401E606" w14:textId="480305B4" w:rsidR="00967471" w:rsidRDefault="00967471" w:rsidP="00967471">
      <w:pPr>
        <w:pStyle w:val="Para0"/>
      </w:pPr>
      <w:r>
        <w:t xml:space="preserve">Investment promotion activities offered by IPAs in the region are comprehensive, and investment facilitation has advanced considerably, </w:t>
      </w:r>
      <w:r w:rsidR="0068100D">
        <w:t>al</w:t>
      </w:r>
      <w:r>
        <w:t xml:space="preserve">though </w:t>
      </w:r>
      <w:r w:rsidR="0068100D">
        <w:t xml:space="preserve">there remains scope for improving </w:t>
      </w:r>
      <w:r>
        <w:t xml:space="preserve">single-window access to administrative procedures </w:t>
      </w:r>
      <w:r w:rsidR="0068100D">
        <w:t xml:space="preserve">to </w:t>
      </w:r>
      <w:r>
        <w:t xml:space="preserve">make starting a business less costly and time-consuming. Only AZPROMO has in place a </w:t>
      </w:r>
      <w:r w:rsidRPr="00274C1D">
        <w:t>Customer</w:t>
      </w:r>
      <w:r>
        <w:t xml:space="preserve"> Relationship Management </w:t>
      </w:r>
      <w:r w:rsidRPr="00274C1D">
        <w:t>(CRM</w:t>
      </w:r>
      <w:r>
        <w:t>) system, and none of the four agencies track investment generation, facilitation, or aftercare activities through such a system.</w:t>
      </w:r>
    </w:p>
    <w:p w14:paraId="31D1BF9B" w14:textId="1DCDAE90" w:rsidR="001715D9" w:rsidRDefault="001715D9" w:rsidP="00967471">
      <w:pPr>
        <w:pStyle w:val="Para0"/>
      </w:pPr>
      <w:r>
        <w:t>T</w:t>
      </w:r>
      <w:r w:rsidRPr="0055296D">
        <w:t>he IPAs</w:t>
      </w:r>
      <w:r>
        <w:t xml:space="preserve"> of EaP countries</w:t>
      </w:r>
      <w:r w:rsidRPr="0055296D">
        <w:t xml:space="preserve"> </w:t>
      </w:r>
      <w:r>
        <w:t>tend to be</w:t>
      </w:r>
      <w:r w:rsidRPr="0055296D">
        <w:t xml:space="preserve"> relatively small, </w:t>
      </w:r>
      <w:r>
        <w:t>but their few resources are stretched across numerous mandates spanning different policy areas, particularly in Belarus and Azerbaijan. The IPA of Belarus also combines policy-making and administrative functions (like treaty negotiation and managing public concessions) with promotional functions which can lead to lower credibility towards the business community, due to potential conflicts of interest, and impact, as these functions require different expertise and skills.</w:t>
      </w:r>
    </w:p>
    <w:p w14:paraId="57E22854" w14:textId="77777777" w:rsidR="00967471" w:rsidRDefault="00967471" w:rsidP="00967471">
      <w:pPr>
        <w:pStyle w:val="Heading3"/>
      </w:pPr>
      <w:r>
        <w:t>Key recommendations</w:t>
      </w:r>
    </w:p>
    <w:p w14:paraId="2D7EC1CF" w14:textId="47909555" w:rsidR="000B4D8C" w:rsidRDefault="00B00AFA" w:rsidP="00967471">
      <w:pPr>
        <w:pStyle w:val="Para0"/>
        <w:numPr>
          <w:ilvl w:val="0"/>
          <w:numId w:val="42"/>
        </w:numPr>
      </w:pPr>
      <w:r>
        <w:t>G</w:t>
      </w:r>
      <w:r w:rsidR="00967471">
        <w:t>ive IPAs resources and capacity that are commensurate to their number of mandates and adequate to conduct key investment promotion and facilitation functions, such as i</w:t>
      </w:r>
      <w:r w:rsidR="000B4D8C">
        <w:t>nvestor targeting and aftercare.</w:t>
      </w:r>
      <w:r w:rsidR="00967471">
        <w:t xml:space="preserve"> </w:t>
      </w:r>
      <w:r w:rsidR="000B4D8C">
        <w:t>I</w:t>
      </w:r>
      <w:r w:rsidR="00967471">
        <w:t>nstitutional reorganisations</w:t>
      </w:r>
      <w:r w:rsidR="000B4D8C">
        <w:t xml:space="preserve"> should be kept to a minimum to avoid excessive uncertainty for investors.</w:t>
      </w:r>
    </w:p>
    <w:p w14:paraId="0C7E70CD" w14:textId="2816B7D8" w:rsidR="00967471" w:rsidRDefault="00B00AFA" w:rsidP="00FD4777">
      <w:pPr>
        <w:pStyle w:val="Para0"/>
        <w:numPr>
          <w:ilvl w:val="0"/>
          <w:numId w:val="42"/>
        </w:numPr>
      </w:pPr>
      <w:r>
        <w:t xml:space="preserve">Spell out </w:t>
      </w:r>
      <w:r w:rsidR="000B4D8C">
        <w:t>IPA</w:t>
      </w:r>
      <w:r w:rsidR="00967471">
        <w:t xml:space="preserve"> mandates, activities, targets and KPIs in a clear and specific investment promotion strategy, in line with national development objectives.</w:t>
      </w:r>
      <w:r w:rsidR="000B4D8C">
        <w:t xml:space="preserve"> </w:t>
      </w:r>
      <w:r w:rsidR="00916D8C">
        <w:t>Put in place a</w:t>
      </w:r>
      <w:r w:rsidR="00967471">
        <w:t xml:space="preserve"> CRM system to track IPA activities and improve monitoring and effectiveness of investment promotion and facilitation efforts.</w:t>
      </w:r>
    </w:p>
    <w:p w14:paraId="54F81208" w14:textId="516FACD3" w:rsidR="00956023" w:rsidRDefault="00956023" w:rsidP="00956023">
      <w:pPr>
        <w:pStyle w:val="Para0"/>
        <w:numPr>
          <w:ilvl w:val="0"/>
          <w:numId w:val="42"/>
        </w:numPr>
      </w:pPr>
      <w:r>
        <w:t>Consider creating a dedicated board to supervise</w:t>
      </w:r>
      <w:r w:rsidR="004147C4">
        <w:t xml:space="preserve"> and advise</w:t>
      </w:r>
      <w:r>
        <w:t xml:space="preserve"> the activities of their respective IPAs (as is already the case in Ukraine), composed of representatives from government, private sector, academia, and civil society. </w:t>
      </w:r>
      <w:r w:rsidRPr="000B4D8C">
        <w:t>Ukraine</w:t>
      </w:r>
      <w:r>
        <w:t xml:space="preserve"> should expand its existing board’s membership to private sector representatives</w:t>
      </w:r>
      <w:r w:rsidR="00CB69DE">
        <w:t>, and other key stakeholders</w:t>
      </w:r>
      <w:r>
        <w:t>.</w:t>
      </w:r>
    </w:p>
    <w:p w14:paraId="69BA13B4" w14:textId="69DEAD66" w:rsidR="00967471" w:rsidRDefault="00967471" w:rsidP="00967471">
      <w:pPr>
        <w:pStyle w:val="Para0"/>
        <w:numPr>
          <w:ilvl w:val="0"/>
          <w:numId w:val="42"/>
        </w:numPr>
      </w:pPr>
      <w:r w:rsidRPr="000B4D8C">
        <w:lastRenderedPageBreak/>
        <w:t>Belarus</w:t>
      </w:r>
      <w:r>
        <w:t xml:space="preserve"> </w:t>
      </w:r>
      <w:r w:rsidR="00093A3B">
        <w:t>may</w:t>
      </w:r>
      <w:r>
        <w:t xml:space="preserve"> consider </w:t>
      </w:r>
      <w:r w:rsidR="0068100D">
        <w:t xml:space="preserve">reassigning NAIP’s policy mandates (i.e. </w:t>
      </w:r>
      <w:r w:rsidR="0068100D" w:rsidRPr="00017ABD">
        <w:t>negotiating treaties, regulating investment</w:t>
      </w:r>
      <w:r w:rsidR="0068100D">
        <w:t>,</w:t>
      </w:r>
      <w:r w:rsidR="0068100D" w:rsidRPr="00017ABD">
        <w:t xml:space="preserve"> managing privatisations and public concessions</w:t>
      </w:r>
      <w:r w:rsidR="0068100D">
        <w:t xml:space="preserve">) to </w:t>
      </w:r>
      <w:r w:rsidR="0068100D" w:rsidRPr="00017ABD">
        <w:t xml:space="preserve">the Ministry of Economy and </w:t>
      </w:r>
      <w:r w:rsidR="0068100D">
        <w:t xml:space="preserve">allowing NAIP to focus its resources on </w:t>
      </w:r>
      <w:r w:rsidR="0068100D" w:rsidRPr="00017ABD">
        <w:t>investment promotion and facilitation</w:t>
      </w:r>
      <w:r w:rsidRPr="00017ABD">
        <w:t>. If this option is considered, the promotion part of NAIP could increasingly take more autonomy from the Ministry of Economy.</w:t>
      </w:r>
    </w:p>
    <w:p w14:paraId="35D365C7" w14:textId="32662F25" w:rsidR="00E93C98" w:rsidRPr="00E93C98" w:rsidRDefault="001715D9" w:rsidP="00967471">
      <w:pPr>
        <w:pStyle w:val="Para0"/>
        <w:numPr>
          <w:ilvl w:val="0"/>
          <w:numId w:val="42"/>
        </w:numPr>
      </w:pPr>
      <w:r>
        <w:t>Cut unnecessary procedures and requirements to start a business, digitise procedures where possible</w:t>
      </w:r>
      <w:r w:rsidR="00967471">
        <w:t xml:space="preserve">, and </w:t>
      </w:r>
      <w:r w:rsidR="00B43740">
        <w:t>continue efforts to reduce</w:t>
      </w:r>
      <w:r w:rsidR="00967471">
        <w:t xml:space="preserve"> the time required to start a business</w:t>
      </w:r>
      <w:r w:rsidR="00B43740">
        <w:t xml:space="preserve"> in Belarus and Ukraine</w:t>
      </w:r>
      <w:r w:rsidR="00967471">
        <w:t>.</w:t>
      </w:r>
    </w:p>
    <w:p w14:paraId="0B72C365" w14:textId="4D34DBDA" w:rsidR="00B2476C" w:rsidRDefault="00937D07" w:rsidP="00B2476C">
      <w:pPr>
        <w:pStyle w:val="Heading2"/>
        <w:rPr>
          <w:rFonts w:hint="eastAsia"/>
        </w:rPr>
      </w:pPr>
      <w:bookmarkStart w:id="55" w:name="_Toc31228350"/>
      <w:bookmarkStart w:id="56" w:name="_Toc31983284"/>
      <w:bookmarkStart w:id="57" w:name="_Toc33443295"/>
      <w:r>
        <w:t>The institutional framework for investment promotion</w:t>
      </w:r>
      <w:bookmarkEnd w:id="55"/>
      <w:r w:rsidR="00765594">
        <w:t xml:space="preserve"> and facilitation</w:t>
      </w:r>
      <w:bookmarkEnd w:id="56"/>
      <w:bookmarkEnd w:id="57"/>
    </w:p>
    <w:p w14:paraId="4CBEB7E2" w14:textId="77777777" w:rsidR="007718E6" w:rsidRPr="008A3404" w:rsidRDefault="007718E6" w:rsidP="007718E6">
      <w:pPr>
        <w:pStyle w:val="Para0"/>
      </w:pPr>
      <w:r w:rsidRPr="008A3404">
        <w:t xml:space="preserve">Recognising the importance of </w:t>
      </w:r>
      <w:r>
        <w:t xml:space="preserve">private </w:t>
      </w:r>
      <w:r w:rsidRPr="008A3404">
        <w:t xml:space="preserve">investment for economic </w:t>
      </w:r>
      <w:r>
        <w:t xml:space="preserve">and social </w:t>
      </w:r>
      <w:r w:rsidRPr="008A3404">
        <w:t xml:space="preserve">development, most countries </w:t>
      </w:r>
      <w:r>
        <w:t xml:space="preserve">in the world </w:t>
      </w:r>
      <w:r w:rsidRPr="008A3404">
        <w:t xml:space="preserve">have established </w:t>
      </w:r>
      <w:r w:rsidR="00075C49">
        <w:t>investment promotion agencies (</w:t>
      </w:r>
      <w:r w:rsidRPr="008A3404">
        <w:t>IPAs</w:t>
      </w:r>
      <w:r w:rsidR="00075C49">
        <w:t>)</w:t>
      </w:r>
      <w:r w:rsidRPr="008A3404">
        <w:t xml:space="preserve"> dedicated to promoting and facilitating investment</w:t>
      </w:r>
      <w:r>
        <w:t>, often with a</w:t>
      </w:r>
      <w:r w:rsidR="00075C49">
        <w:t>n</w:t>
      </w:r>
      <w:r>
        <w:t xml:space="preserve"> emphasis on attracting multinational enterprises (MNEs) </w:t>
      </w:r>
      <w:r w:rsidRPr="002F51D8">
        <w:t>and captur</w:t>
      </w:r>
      <w:r>
        <w:t>ing</w:t>
      </w:r>
      <w:r w:rsidRPr="002F51D8">
        <w:t xml:space="preserve"> </w:t>
      </w:r>
      <w:r>
        <w:t xml:space="preserve">the </w:t>
      </w:r>
      <w:r w:rsidRPr="002F51D8">
        <w:t>benefits</w:t>
      </w:r>
      <w:r>
        <w:t xml:space="preserve"> of FDI.</w:t>
      </w:r>
      <w:r w:rsidR="00075C49">
        <w:t xml:space="preserve"> </w:t>
      </w:r>
      <w:r>
        <w:t xml:space="preserve">In </w:t>
      </w:r>
      <w:r w:rsidR="00075C49">
        <w:t>most</w:t>
      </w:r>
      <w:r>
        <w:t xml:space="preserve"> countries, </w:t>
      </w:r>
      <w:r w:rsidRPr="008A3404">
        <w:t xml:space="preserve">IPAs are </w:t>
      </w:r>
      <w:r w:rsidR="00075C49">
        <w:t>responsible for</w:t>
      </w:r>
      <w:r w:rsidRPr="008A3404">
        <w:t xml:space="preserve"> </w:t>
      </w:r>
      <w:r>
        <w:t>four core</w:t>
      </w:r>
      <w:r w:rsidRPr="008A3404">
        <w:t xml:space="preserve"> functions: </w:t>
      </w:r>
    </w:p>
    <w:p w14:paraId="4BA129CD" w14:textId="77777777" w:rsidR="007718E6" w:rsidRPr="008A3404" w:rsidRDefault="00EC1F05" w:rsidP="007718E6">
      <w:pPr>
        <w:pStyle w:val="BulletedList"/>
        <w:tabs>
          <w:tab w:val="clear" w:pos="360"/>
          <w:tab w:val="num" w:pos="340"/>
        </w:tabs>
      </w:pPr>
      <w:r>
        <w:rPr>
          <w:i/>
        </w:rPr>
        <w:t>I</w:t>
      </w:r>
      <w:r w:rsidR="007718E6" w:rsidRPr="008A3404">
        <w:rPr>
          <w:i/>
        </w:rPr>
        <w:t>mage building</w:t>
      </w:r>
      <w:r w:rsidR="007718E6" w:rsidRPr="008A3404">
        <w:t xml:space="preserve"> consists of fostering the positive image of the host country and branding it as a pro</w:t>
      </w:r>
      <w:r>
        <w:t>fitable investment destination.</w:t>
      </w:r>
    </w:p>
    <w:p w14:paraId="00CD6901" w14:textId="77777777" w:rsidR="007718E6" w:rsidRPr="008A3404" w:rsidRDefault="00EC1F05" w:rsidP="007718E6">
      <w:pPr>
        <w:pStyle w:val="BulletedList"/>
        <w:tabs>
          <w:tab w:val="clear" w:pos="360"/>
          <w:tab w:val="num" w:pos="340"/>
        </w:tabs>
      </w:pPr>
      <w:r>
        <w:rPr>
          <w:i/>
        </w:rPr>
        <w:t>I</w:t>
      </w:r>
      <w:r w:rsidR="007718E6" w:rsidRPr="008A3404">
        <w:rPr>
          <w:i/>
        </w:rPr>
        <w:t>nvestment generation</w:t>
      </w:r>
      <w:r w:rsidR="007718E6" w:rsidRPr="008A3404">
        <w:t xml:space="preserve"> deals with direct marketing techniques targeting specific </w:t>
      </w:r>
      <w:r w:rsidR="007718E6">
        <w:t>sectors</w:t>
      </w:r>
      <w:r w:rsidR="007718E6" w:rsidRPr="008A3404">
        <w:t>,</w:t>
      </w:r>
      <w:r w:rsidR="007718E6">
        <w:t xml:space="preserve"> markets, projects,</w:t>
      </w:r>
      <w:r w:rsidR="007718E6" w:rsidRPr="008A3404">
        <w:t xml:space="preserve"> activities </w:t>
      </w:r>
      <w:r w:rsidR="007718E6">
        <w:t>and investors</w:t>
      </w:r>
      <w:r w:rsidR="007718E6" w:rsidRPr="008A3404">
        <w:t>, i</w:t>
      </w:r>
      <w:r>
        <w:t>n line with national priorities.</w:t>
      </w:r>
      <w:r w:rsidR="007718E6" w:rsidRPr="008A3404">
        <w:t xml:space="preserve"> </w:t>
      </w:r>
    </w:p>
    <w:p w14:paraId="6342026F" w14:textId="77777777" w:rsidR="007718E6" w:rsidRDefault="00EC1F05" w:rsidP="007718E6">
      <w:pPr>
        <w:pStyle w:val="BulletedList"/>
        <w:tabs>
          <w:tab w:val="clear" w:pos="360"/>
          <w:tab w:val="num" w:pos="340"/>
        </w:tabs>
      </w:pPr>
      <w:r>
        <w:rPr>
          <w:i/>
        </w:rPr>
        <w:t>I</w:t>
      </w:r>
      <w:r w:rsidR="007718E6" w:rsidRPr="001C2FC3">
        <w:rPr>
          <w:i/>
        </w:rPr>
        <w:t xml:space="preserve">nvestment facilitation, retention and aftercare </w:t>
      </w:r>
      <w:r w:rsidR="007718E6" w:rsidRPr="008A3404">
        <w:t>is about providing support to investors to facilitate their establishment phase</w:t>
      </w:r>
      <w:r w:rsidR="007718E6">
        <w:t xml:space="preserve"> as well as retaining existing ones</w:t>
      </w:r>
      <w:r w:rsidR="007718E6" w:rsidRPr="008A3404">
        <w:t xml:space="preserve"> and encourag</w:t>
      </w:r>
      <w:r w:rsidR="007718E6">
        <w:t>ing</w:t>
      </w:r>
      <w:r w:rsidR="007718E6" w:rsidRPr="008A3404">
        <w:t xml:space="preserve"> reinvestments by responding to </w:t>
      </w:r>
      <w:r w:rsidR="007718E6">
        <w:t xml:space="preserve">their </w:t>
      </w:r>
      <w:r>
        <w:t>needs and challenges.</w:t>
      </w:r>
    </w:p>
    <w:p w14:paraId="76644991" w14:textId="77777777" w:rsidR="007718E6" w:rsidRDefault="00EC1F05" w:rsidP="007718E6">
      <w:pPr>
        <w:pStyle w:val="BulletedList"/>
        <w:tabs>
          <w:tab w:val="clear" w:pos="360"/>
          <w:tab w:val="num" w:pos="340"/>
        </w:tabs>
      </w:pPr>
      <w:r>
        <w:rPr>
          <w:i/>
        </w:rPr>
        <w:t>P</w:t>
      </w:r>
      <w:r w:rsidR="007718E6" w:rsidRPr="00530C2F">
        <w:rPr>
          <w:i/>
        </w:rPr>
        <w:t>olicy advocacy</w:t>
      </w:r>
      <w:r w:rsidR="007718E6" w:rsidRPr="008A3404">
        <w:t xml:space="preserve"> includes identifying bottlenecks in the investment climate and providing recommendations to government in order to address them.</w:t>
      </w:r>
    </w:p>
    <w:p w14:paraId="006744E7" w14:textId="62A30594" w:rsidR="00B2476C" w:rsidRDefault="00FB11FE" w:rsidP="007718E6">
      <w:pPr>
        <w:pStyle w:val="Para0"/>
      </w:pPr>
      <w:r>
        <w:t>T</w:t>
      </w:r>
      <w:r w:rsidR="007718E6">
        <w:t xml:space="preserve">he first two functions relate to attracting new </w:t>
      </w:r>
      <w:r>
        <w:t xml:space="preserve">potential </w:t>
      </w:r>
      <w:r w:rsidR="007718E6">
        <w:t>investors</w:t>
      </w:r>
      <w:r>
        <w:t xml:space="preserve"> that have not yet selected an investment destination</w:t>
      </w:r>
      <w:r w:rsidR="00331DF9">
        <w:t xml:space="preserve"> (investment promotion)</w:t>
      </w:r>
      <w:r>
        <w:t>.</w:t>
      </w:r>
      <w:r w:rsidR="007718E6">
        <w:t xml:space="preserve"> </w:t>
      </w:r>
      <w:r>
        <w:t>T</w:t>
      </w:r>
      <w:r w:rsidR="007718E6">
        <w:t>he latter two dea</w:t>
      </w:r>
      <w:r w:rsidR="005708A6">
        <w:t xml:space="preserve">l with </w:t>
      </w:r>
      <w:r w:rsidR="007718E6">
        <w:t>making it easy for investors to establish, operate and expand (</w:t>
      </w:r>
      <w:r>
        <w:t>investment facilitation) and</w:t>
      </w:r>
      <w:r w:rsidR="007718E6">
        <w:t xml:space="preserve"> starts at the pre-establishment phase, when an investor shows interest in a location</w:t>
      </w:r>
      <w:r>
        <w:t xml:space="preserve"> (</w:t>
      </w:r>
      <w:r w:rsidR="00624803">
        <w:t>OECD</w:t>
      </w:r>
      <w:r>
        <w:t>, 2018</w:t>
      </w:r>
      <w:r w:rsidR="00AB1A30">
        <w:t>a</w:t>
      </w:r>
      <w:r>
        <w:t>)</w:t>
      </w:r>
      <w:r w:rsidR="007718E6">
        <w:t xml:space="preserve">. </w:t>
      </w:r>
      <w:r>
        <w:t>While</w:t>
      </w:r>
      <w:r w:rsidR="007718E6">
        <w:t xml:space="preserve"> investment promotion is primarily the business of IPAs</w:t>
      </w:r>
      <w:r>
        <w:t>,</w:t>
      </w:r>
      <w:r w:rsidR="007718E6">
        <w:t xml:space="preserve"> facilitation is not limited to IPAs and involves a whole-of-government approach.</w:t>
      </w:r>
    </w:p>
    <w:p w14:paraId="14CB03E6" w14:textId="77777777" w:rsidR="00F249A0" w:rsidRDefault="00F249A0" w:rsidP="007718E6">
      <w:pPr>
        <w:pStyle w:val="Para0"/>
      </w:pPr>
      <w:r>
        <w:t xml:space="preserve">Large differences exist among IPAs in terms of institutional settings, governance policy, strategic priorities, and </w:t>
      </w:r>
      <w:r w:rsidR="00EC1F05">
        <w:t>the tools at their disposal</w:t>
      </w:r>
      <w:r>
        <w:t>. The way governments</w:t>
      </w:r>
      <w:r w:rsidR="00EC1F05">
        <w:t xml:space="preserve"> around the world organise the</w:t>
      </w:r>
      <w:r>
        <w:t xml:space="preserve"> institutional framework for investment promotion and facilitation </w:t>
      </w:r>
      <w:r w:rsidR="00EC1F05">
        <w:t>reflects</w:t>
      </w:r>
      <w:r>
        <w:t xml:space="preserve"> their policy objectives and the priority they give to investment. These choices can greatly influence success in attracting investment in the most efficient and effective manner.</w:t>
      </w:r>
    </w:p>
    <w:p w14:paraId="4B6147F3" w14:textId="466D8EF4" w:rsidR="00FD0CCB" w:rsidRDefault="00FD0CCB" w:rsidP="00FD0CCB">
      <w:pPr>
        <w:pStyle w:val="Para0"/>
      </w:pPr>
      <w:r>
        <w:t>The main institutions responsible for investment promotion and facilitation in the region are: the Azerbaijan E</w:t>
      </w:r>
      <w:r w:rsidR="00EC1F05">
        <w:t>xport and Investment Promotion F</w:t>
      </w:r>
      <w:r>
        <w:t>oundation (</w:t>
      </w:r>
      <w:r w:rsidR="00797913">
        <w:t>AZPROMO</w:t>
      </w:r>
      <w:r>
        <w:t xml:space="preserve">), the </w:t>
      </w:r>
      <w:r w:rsidRPr="00DC577E">
        <w:t>National Agency of Investment and Privat</w:t>
      </w:r>
      <w:r w:rsidR="00C95170">
        <w:t>isation</w:t>
      </w:r>
      <w:r>
        <w:t xml:space="preserve"> of Belarus (NAIP), Enterprise Georgia, Invest in Moldova, and Ukraine Invest. The IPA of Armenia was recently dissolved </w:t>
      </w:r>
      <w:r w:rsidRPr="00432CF9">
        <w:t>as part of a Government-wide streamlining programme.</w:t>
      </w:r>
    </w:p>
    <w:p w14:paraId="6E1222BA" w14:textId="1063A902" w:rsidR="0054732B" w:rsidRDefault="0054732B" w:rsidP="0054732B">
      <w:pPr>
        <w:pStyle w:val="Para0"/>
        <w:spacing w:after="240"/>
      </w:pPr>
      <w:r>
        <w:t xml:space="preserve">In the context of the OECD Eurasia Competitiveness Programme, </w:t>
      </w:r>
      <w:r w:rsidR="00B77EF6">
        <w:t>the IPAs</w:t>
      </w:r>
      <w:r w:rsidR="00EC1F05">
        <w:t xml:space="preserve"> of</w:t>
      </w:r>
      <w:r w:rsidR="00B77EF6">
        <w:t xml:space="preserve"> </w:t>
      </w:r>
      <w:r>
        <w:t xml:space="preserve">four </w:t>
      </w:r>
      <w:r w:rsidR="00DB49AD">
        <w:t>EaP</w:t>
      </w:r>
      <w:r w:rsidR="00AA0E22">
        <w:t xml:space="preserve"> </w:t>
      </w:r>
      <w:r>
        <w:t xml:space="preserve">countries – Azerbaijan, Belarus, Georgia and Ukraine – recently participated in a survey of </w:t>
      </w:r>
      <w:r>
        <w:lastRenderedPageBreak/>
        <w:t>IPAs conducted by the OECD (Box 3.1).</w:t>
      </w:r>
      <w:r w:rsidR="00A179E8">
        <w:rPr>
          <w:rStyle w:val="FootnoteReference"/>
        </w:rPr>
        <w:footnoteReference w:id="2"/>
      </w:r>
      <w:r w:rsidR="00A23D10">
        <w:t xml:space="preserve"> </w:t>
      </w:r>
      <w:r>
        <w:t>The results serve as the basis of the comparative analysis conducted in this chapter, which benchmarks the IPAs against agencies from other regions.</w:t>
      </w:r>
      <w:r w:rsidR="002F1499">
        <w:t xml:space="preserve"> Further consultation with the IPAs and with the other institutions linked to the IPAs </w:t>
      </w:r>
      <w:r w:rsidR="004F247D">
        <w:t>is</w:t>
      </w:r>
      <w:r w:rsidR="002F1499">
        <w:t xml:space="preserve"> necessary to provide </w:t>
      </w:r>
      <w:r w:rsidR="004F247D">
        <w:t>tailored</w:t>
      </w:r>
      <w:r w:rsidR="002F1499">
        <w:t xml:space="preserve"> </w:t>
      </w:r>
      <w:r w:rsidR="004F541E">
        <w:t xml:space="preserve">and </w:t>
      </w:r>
      <w:r w:rsidR="002F1499">
        <w:t xml:space="preserve">actionable recommendations for the improvement of </w:t>
      </w:r>
      <w:r w:rsidR="00126C89">
        <w:t xml:space="preserve">the </w:t>
      </w:r>
      <w:r w:rsidR="002F1499">
        <w:t>investment promotion and facilitation landscape in each country.</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4F541E" w14:paraId="3B50A38D" w14:textId="77777777" w:rsidTr="00135DF1">
        <w:trPr>
          <w:jc w:val="center"/>
        </w:trPr>
        <w:tc>
          <w:tcPr>
            <w:tcW w:w="9309" w:type="dxa"/>
            <w:shd w:val="clear" w:color="auto" w:fill="E1E6EB"/>
          </w:tcPr>
          <w:p w14:paraId="48CB29BD" w14:textId="50BDCFE3" w:rsidR="004F541E" w:rsidRDefault="004F541E" w:rsidP="00135DF1">
            <w:pPr>
              <w:pStyle w:val="Caption"/>
              <w:keepNext w:val="0"/>
            </w:pPr>
            <w:bookmarkStart w:id="58" w:name="_Toc31983228"/>
            <w:bookmarkStart w:id="59" w:name="_Toc33443345"/>
            <w:r>
              <w:t xml:space="preserve">Box </w:t>
            </w:r>
            <w:fldSimple w:instr=" STYLEREF 1 \s ">
              <w:r w:rsidR="004B1200">
                <w:rPr>
                  <w:noProof/>
                </w:rPr>
                <w:t>3</w:t>
              </w:r>
            </w:fldSimple>
            <w:r>
              <w:t>.</w:t>
            </w:r>
            <w:r>
              <w:rPr>
                <w:noProof/>
              </w:rPr>
              <w:fldChar w:fldCharType="begin"/>
            </w:r>
            <w:r>
              <w:rPr>
                <w:noProof/>
              </w:rPr>
              <w:instrText xml:space="preserve"> SEQ Box \* ARABIC \s 1 </w:instrText>
            </w:r>
            <w:r>
              <w:rPr>
                <w:noProof/>
              </w:rPr>
              <w:fldChar w:fldCharType="separate"/>
            </w:r>
            <w:r w:rsidR="004B1200">
              <w:rPr>
                <w:noProof/>
              </w:rPr>
              <w:t>1</w:t>
            </w:r>
            <w:r>
              <w:rPr>
                <w:noProof/>
              </w:rPr>
              <w:fldChar w:fldCharType="end"/>
            </w:r>
            <w:r>
              <w:t xml:space="preserve">. </w:t>
            </w:r>
            <w:r w:rsidRPr="009925B5">
              <w:t>The OECD-IDB survey of investment promotion agencies</w:t>
            </w:r>
            <w:bookmarkEnd w:id="58"/>
            <w:bookmarkEnd w:id="59"/>
          </w:p>
          <w:p w14:paraId="350D0E5A" w14:textId="77777777" w:rsidR="004F541E" w:rsidRPr="005C1E11" w:rsidRDefault="004F541E" w:rsidP="004F541E">
            <w:pPr>
              <w:pStyle w:val="Para0"/>
              <w:rPr>
                <w:sz w:val="20"/>
              </w:rPr>
            </w:pPr>
            <w:r w:rsidRPr="005C1E11">
              <w:rPr>
                <w:sz w:val="20"/>
              </w:rPr>
              <w:t xml:space="preserve">The OECD and the Inter-American Development Bank (IDB) have partnered to design a comprehensive survey of IPAs. The questionnaire provides detailed data that reflect the multiple recent policy developments as well as rich and comparable information on the work of national agencies in different countries. </w:t>
            </w:r>
          </w:p>
          <w:p w14:paraId="50EC729A" w14:textId="3026C270" w:rsidR="004F541E" w:rsidRPr="005C1E11" w:rsidRDefault="00C12564" w:rsidP="002D7F1C">
            <w:pPr>
              <w:pStyle w:val="Para0"/>
              <w:rPr>
                <w:sz w:val="20"/>
              </w:rPr>
            </w:pPr>
            <w:r>
              <w:rPr>
                <w:sz w:val="20"/>
              </w:rPr>
              <w:t xml:space="preserve">The survey was </w:t>
            </w:r>
            <w:r w:rsidR="002D7F1C">
              <w:rPr>
                <w:sz w:val="20"/>
              </w:rPr>
              <w:t>completed</w:t>
            </w:r>
            <w:r>
              <w:rPr>
                <w:sz w:val="20"/>
              </w:rPr>
              <w:t xml:space="preserve"> </w:t>
            </w:r>
            <w:r w:rsidR="002D7F1C">
              <w:rPr>
                <w:sz w:val="20"/>
              </w:rPr>
              <w:t>by</w:t>
            </w:r>
            <w:r>
              <w:rPr>
                <w:sz w:val="20"/>
              </w:rPr>
              <w:t xml:space="preserve"> </w:t>
            </w:r>
            <w:r w:rsidR="002D7F1C">
              <w:rPr>
                <w:sz w:val="20"/>
              </w:rPr>
              <w:t xml:space="preserve">representatives of </w:t>
            </w:r>
            <w:r>
              <w:rPr>
                <w:sz w:val="20"/>
              </w:rPr>
              <w:t xml:space="preserve">national IPAs from 32 OECD </w:t>
            </w:r>
            <w:r w:rsidR="002D7F1C">
              <w:rPr>
                <w:sz w:val="20"/>
              </w:rPr>
              <w:t>countries (2017-18)</w:t>
            </w:r>
            <w:r>
              <w:rPr>
                <w:sz w:val="20"/>
              </w:rPr>
              <w:t>; 19</w:t>
            </w:r>
            <w:r w:rsidR="002D7F1C">
              <w:rPr>
                <w:sz w:val="20"/>
              </w:rPr>
              <w:t xml:space="preserve"> </w:t>
            </w:r>
            <w:r w:rsidRPr="005C1E11">
              <w:rPr>
                <w:sz w:val="20"/>
              </w:rPr>
              <w:t>Latin America</w:t>
            </w:r>
            <w:r w:rsidR="002D7F1C">
              <w:rPr>
                <w:sz w:val="20"/>
              </w:rPr>
              <w:t>n</w:t>
            </w:r>
            <w:r w:rsidRPr="005C1E11">
              <w:rPr>
                <w:sz w:val="20"/>
              </w:rPr>
              <w:t xml:space="preserve"> and Caribbean (LAC)</w:t>
            </w:r>
            <w:r w:rsidR="002D7F1C">
              <w:rPr>
                <w:sz w:val="20"/>
              </w:rPr>
              <w:t xml:space="preserve"> countries (</w:t>
            </w:r>
            <w:r>
              <w:rPr>
                <w:sz w:val="20"/>
              </w:rPr>
              <w:t>2017-18</w:t>
            </w:r>
            <w:r w:rsidR="002D7F1C">
              <w:rPr>
                <w:sz w:val="20"/>
              </w:rPr>
              <w:t>)</w:t>
            </w:r>
            <w:r>
              <w:rPr>
                <w:sz w:val="20"/>
              </w:rPr>
              <w:t xml:space="preserve">; </w:t>
            </w:r>
            <w:r w:rsidR="00CB69DE">
              <w:rPr>
                <w:sz w:val="20"/>
              </w:rPr>
              <w:t>8</w:t>
            </w:r>
            <w:r>
              <w:rPr>
                <w:sz w:val="20"/>
              </w:rPr>
              <w:t xml:space="preserve"> Southern Mediterranean (MED)</w:t>
            </w:r>
            <w:r w:rsidR="002D7F1C">
              <w:rPr>
                <w:sz w:val="20"/>
              </w:rPr>
              <w:t xml:space="preserve"> countries</w:t>
            </w:r>
            <w:r>
              <w:rPr>
                <w:sz w:val="20"/>
              </w:rPr>
              <w:t xml:space="preserve"> </w:t>
            </w:r>
            <w:r w:rsidR="002D7F1C">
              <w:rPr>
                <w:sz w:val="20"/>
              </w:rPr>
              <w:t>(</w:t>
            </w:r>
            <w:r>
              <w:rPr>
                <w:sz w:val="20"/>
              </w:rPr>
              <w:t>2018</w:t>
            </w:r>
            <w:r w:rsidR="002D7F1C">
              <w:rPr>
                <w:sz w:val="20"/>
              </w:rPr>
              <w:t xml:space="preserve">); 4 </w:t>
            </w:r>
            <w:r w:rsidR="0042628D">
              <w:rPr>
                <w:sz w:val="20"/>
              </w:rPr>
              <w:t>Eastern Partner</w:t>
            </w:r>
            <w:r w:rsidR="002D7F1C">
              <w:rPr>
                <w:sz w:val="20"/>
              </w:rPr>
              <w:t xml:space="preserve"> (E</w:t>
            </w:r>
            <w:r w:rsidR="0042628D">
              <w:rPr>
                <w:sz w:val="20"/>
              </w:rPr>
              <w:t>aP</w:t>
            </w:r>
            <w:r w:rsidR="002D7F1C">
              <w:rPr>
                <w:sz w:val="20"/>
              </w:rPr>
              <w:t>) countries (2019); and 6 Central Asian (CA) countries (2019). T</w:t>
            </w:r>
            <w:r w:rsidR="004F541E" w:rsidRPr="005C1E11">
              <w:rPr>
                <w:sz w:val="20"/>
              </w:rPr>
              <w:t xml:space="preserve">he survey </w:t>
            </w:r>
            <w:r w:rsidR="002D7F1C">
              <w:rPr>
                <w:sz w:val="20"/>
              </w:rPr>
              <w:t>is</w:t>
            </w:r>
            <w:r w:rsidR="004F541E" w:rsidRPr="005C1E11">
              <w:rPr>
                <w:sz w:val="20"/>
              </w:rPr>
              <w:t xml:space="preserve"> divided into nine parts</w:t>
            </w:r>
            <w:r w:rsidR="002D7F1C">
              <w:rPr>
                <w:sz w:val="20"/>
              </w:rPr>
              <w:t>, covering</w:t>
            </w:r>
            <w:r w:rsidR="004F541E" w:rsidRPr="005C1E11">
              <w:rPr>
                <w:sz w:val="20"/>
              </w:rPr>
              <w:t xml:space="preserve">: </w:t>
            </w:r>
          </w:p>
          <w:p w14:paraId="19F56AF8"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Basic profile; </w:t>
            </w:r>
          </w:p>
          <w:p w14:paraId="77156A95"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Budget; </w:t>
            </w:r>
            <w:r w:rsidR="002D7F1C">
              <w:rPr>
                <w:sz w:val="20"/>
              </w:rPr>
              <w:t>p</w:t>
            </w:r>
            <w:r w:rsidRPr="005C1E11">
              <w:rPr>
                <w:sz w:val="20"/>
              </w:rPr>
              <w:t xml:space="preserve">ersonnel; </w:t>
            </w:r>
          </w:p>
          <w:p w14:paraId="0BA6C2B4"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Offices (home and abroad); </w:t>
            </w:r>
          </w:p>
          <w:p w14:paraId="17882E83"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Activities; </w:t>
            </w:r>
          </w:p>
          <w:p w14:paraId="5E6D1721"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Prioritisation; </w:t>
            </w:r>
          </w:p>
          <w:p w14:paraId="1A1D2807"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Monitoring and evaluation; </w:t>
            </w:r>
          </w:p>
          <w:p w14:paraId="6B95629E" w14:textId="77777777" w:rsidR="004F541E" w:rsidRPr="005C1E11" w:rsidRDefault="004F541E" w:rsidP="002D7F1C">
            <w:pPr>
              <w:pStyle w:val="Para0"/>
              <w:numPr>
                <w:ilvl w:val="0"/>
                <w:numId w:val="26"/>
              </w:numPr>
              <w:ind w:left="1395" w:hanging="357"/>
              <w:contextualSpacing/>
              <w:rPr>
                <w:sz w:val="20"/>
              </w:rPr>
            </w:pPr>
            <w:r w:rsidRPr="005C1E11">
              <w:rPr>
                <w:sz w:val="20"/>
              </w:rPr>
              <w:t xml:space="preserve">Institutional interactions; and </w:t>
            </w:r>
          </w:p>
          <w:p w14:paraId="5CF52B93" w14:textId="77777777" w:rsidR="004F541E" w:rsidRPr="005C1E11" w:rsidRDefault="004F541E" w:rsidP="004F541E">
            <w:pPr>
              <w:pStyle w:val="Para0"/>
              <w:numPr>
                <w:ilvl w:val="0"/>
                <w:numId w:val="26"/>
              </w:numPr>
              <w:rPr>
                <w:sz w:val="20"/>
              </w:rPr>
            </w:pPr>
            <w:r w:rsidRPr="005C1E11">
              <w:rPr>
                <w:sz w:val="20"/>
              </w:rPr>
              <w:t xml:space="preserve">IPA perceptions on FDI. </w:t>
            </w:r>
          </w:p>
          <w:p w14:paraId="4495A10F" w14:textId="77777777" w:rsidR="004F541E" w:rsidRDefault="004F541E" w:rsidP="002D7F1C">
            <w:pPr>
              <w:pStyle w:val="Para0"/>
              <w:keepNext/>
            </w:pPr>
            <w:r w:rsidRPr="005C1E11">
              <w:rPr>
                <w:sz w:val="20"/>
              </w:rPr>
              <w:t>The results of the survey are gathered and presented in comprehensive IPA mapping reports, which provide a full and comparative picture of IPAs in selected regions. The reports benchmark</w:t>
            </w:r>
            <w:r w:rsidR="002D7F1C">
              <w:rPr>
                <w:sz w:val="20"/>
              </w:rPr>
              <w:t xml:space="preserve"> national</w:t>
            </w:r>
            <w:r w:rsidRPr="005C1E11">
              <w:rPr>
                <w:sz w:val="20"/>
              </w:rPr>
              <w:t xml:space="preserve"> agencies against each other</w:t>
            </w:r>
            <w:r w:rsidR="002D7F1C">
              <w:rPr>
                <w:sz w:val="20"/>
              </w:rPr>
              <w:t xml:space="preserve"> and against regional averages.</w:t>
            </w:r>
          </w:p>
        </w:tc>
      </w:tr>
    </w:tbl>
    <w:p w14:paraId="1F9F2FAB" w14:textId="2780FD3A" w:rsidR="008D67A5" w:rsidRPr="00CD02B0" w:rsidRDefault="00580EA8" w:rsidP="00580EA8">
      <w:pPr>
        <w:pStyle w:val="Heading3"/>
      </w:pPr>
      <w:r w:rsidRPr="00CD02B0">
        <w:t>The organisation</w:t>
      </w:r>
      <w:r w:rsidR="00C50AD3">
        <w:t>al</w:t>
      </w:r>
      <w:r w:rsidRPr="00CD02B0">
        <w:t xml:space="preserve"> set-up for investment promotion is volatile</w:t>
      </w:r>
    </w:p>
    <w:p w14:paraId="38F465A0" w14:textId="76CF3F41" w:rsidR="00BB5E70" w:rsidRPr="00EB64D1" w:rsidRDefault="00BB5E70" w:rsidP="00880064">
      <w:pPr>
        <w:pStyle w:val="Para0"/>
      </w:pPr>
      <w:r w:rsidRPr="00EB64D1">
        <w:t xml:space="preserve">While significant differences exist in the institutional landscape for investment promotion across </w:t>
      </w:r>
      <w:r w:rsidR="0042628D">
        <w:t>EaP</w:t>
      </w:r>
      <w:r w:rsidRPr="00EB64D1">
        <w:t xml:space="preserve"> countries, common </w:t>
      </w:r>
      <w:r w:rsidR="0071380B">
        <w:t>features</w:t>
      </w:r>
      <w:r w:rsidRPr="00EB64D1">
        <w:t xml:space="preserve"> include relatively young IPAs and frequent changes in their organisational structure. </w:t>
      </w:r>
      <w:r w:rsidR="0071380B">
        <w:t>In fact</w:t>
      </w:r>
      <w:r w:rsidR="0080005A">
        <w:t xml:space="preserve">, many IPAs have experimented with organisational reforms </w:t>
      </w:r>
      <w:r w:rsidR="0071380B">
        <w:t xml:space="preserve">in recent years, </w:t>
      </w:r>
      <w:r w:rsidR="0080005A">
        <w:t>in an effort to adapt to changing environments and emerging challenges. A majority of OECD IPAs (81%) have restructured their organisation at least once in recent years, and a quarter have experienced at least three reforms</w:t>
      </w:r>
      <w:r w:rsidR="0071380B">
        <w:t xml:space="preserve"> (OECD, 2018</w:t>
      </w:r>
      <w:r w:rsidR="00AB1A30">
        <w:t>a</w:t>
      </w:r>
      <w:r w:rsidR="0071380B">
        <w:t>)</w:t>
      </w:r>
      <w:r w:rsidR="0080005A">
        <w:t xml:space="preserve">. </w:t>
      </w:r>
      <w:r w:rsidR="0071380B">
        <w:t>However, typically</w:t>
      </w:r>
      <w:r w:rsidR="0080005A">
        <w:t xml:space="preserve"> these reforms have consisted in integrating new mandates within the agencies (e.g. </w:t>
      </w:r>
      <w:r w:rsidR="00DE6EE6">
        <w:t xml:space="preserve">export </w:t>
      </w:r>
      <w:r w:rsidR="00EC1F05">
        <w:t>or</w:t>
      </w:r>
      <w:r w:rsidR="0080005A">
        <w:t xml:space="preserve"> tourism promotion)</w:t>
      </w:r>
      <w:r w:rsidR="00880064">
        <w:t xml:space="preserve"> </w:t>
      </w:r>
      <w:r w:rsidR="00B151F8">
        <w:t>rather than</w:t>
      </w:r>
      <w:r w:rsidR="00880064">
        <w:t xml:space="preserve"> significant </w:t>
      </w:r>
      <w:r w:rsidR="00EC1F05">
        <w:t xml:space="preserve">institutional </w:t>
      </w:r>
      <w:r w:rsidR="00880064">
        <w:t>restructuring</w:t>
      </w:r>
      <w:r w:rsidR="001C1480">
        <w:t>.</w:t>
      </w:r>
      <w:r w:rsidR="00880064">
        <w:t xml:space="preserve"> </w:t>
      </w:r>
      <w:r w:rsidR="001C1480">
        <w:t>I</w:t>
      </w:r>
      <w:r w:rsidR="00B151F8">
        <w:t>n contrast</w:t>
      </w:r>
      <w:r w:rsidR="000A7ECF">
        <w:t>,</w:t>
      </w:r>
      <w:r w:rsidR="00B151F8">
        <w:t xml:space="preserve"> </w:t>
      </w:r>
      <w:r w:rsidR="0080005A">
        <w:t xml:space="preserve">the agencies of </w:t>
      </w:r>
      <w:r w:rsidR="0042628D">
        <w:t>EaP</w:t>
      </w:r>
      <w:r w:rsidR="0080005A">
        <w:t xml:space="preserve"> countries</w:t>
      </w:r>
      <w:r w:rsidR="00B151F8">
        <w:t xml:space="preserve"> </w:t>
      </w:r>
      <w:r w:rsidR="0080005A">
        <w:t>have experienced</w:t>
      </w:r>
      <w:r w:rsidR="001C1480">
        <w:t xml:space="preserve"> liquidation and replacement with new agencies, as well as </w:t>
      </w:r>
      <w:r w:rsidR="006C63AC">
        <w:t xml:space="preserve">repeated </w:t>
      </w:r>
      <w:r w:rsidR="00880064">
        <w:t>changes in legal status</w:t>
      </w:r>
      <w:r w:rsidR="001C1480">
        <w:t>, budget</w:t>
      </w:r>
      <w:r w:rsidR="00880064">
        <w:t xml:space="preserve"> and </w:t>
      </w:r>
      <w:r w:rsidR="001C1480">
        <w:t>responsibilities</w:t>
      </w:r>
      <w:r w:rsidR="00880064">
        <w:t xml:space="preserve"> over </w:t>
      </w:r>
      <w:r w:rsidR="001C1480">
        <w:t>a very short time period</w:t>
      </w:r>
      <w:r w:rsidR="00880064">
        <w:t xml:space="preserve"> (Table 3.1)</w:t>
      </w:r>
      <w:r w:rsidR="0071380B">
        <w:t>.</w:t>
      </w:r>
      <w:r w:rsidR="001C1480">
        <w:t xml:space="preserve"> This is perhaps a </w:t>
      </w:r>
      <w:r w:rsidR="00FD0CCB">
        <w:t>reflection</w:t>
      </w:r>
      <w:r w:rsidR="001C1480">
        <w:t xml:space="preserve"> of the relative novelty</w:t>
      </w:r>
      <w:r w:rsidR="008075CD">
        <w:t xml:space="preserve"> of IPAs in the region</w:t>
      </w:r>
      <w:r w:rsidR="001C1480">
        <w:t xml:space="preserve"> and </w:t>
      </w:r>
      <w:r w:rsidR="006C63AC">
        <w:t xml:space="preserve">governments’ </w:t>
      </w:r>
      <w:r w:rsidR="001C1480">
        <w:t xml:space="preserve">experimentation with different institutional set-ups, but can cause significant uncertainty for business and deter potential </w:t>
      </w:r>
      <w:r w:rsidR="008075CD">
        <w:t xml:space="preserve">new </w:t>
      </w:r>
      <w:r w:rsidR="001C1480">
        <w:t>invest</w:t>
      </w:r>
      <w:r w:rsidR="008075CD">
        <w:t>ments</w:t>
      </w:r>
      <w:r w:rsidR="001C1480">
        <w:t xml:space="preserve"> or </w:t>
      </w:r>
      <w:r w:rsidR="00EC1F05">
        <w:t>reinvestments</w:t>
      </w:r>
      <w:r w:rsidR="008075CD">
        <w:t xml:space="preserve"> from </w:t>
      </w:r>
      <w:r w:rsidR="001C1480">
        <w:t>existing investors.</w:t>
      </w:r>
    </w:p>
    <w:p w14:paraId="12EB6EF0" w14:textId="0DC1B2DB" w:rsidR="00EB64D1" w:rsidRDefault="00EB64D1" w:rsidP="00135DF1">
      <w:pPr>
        <w:pStyle w:val="Caption"/>
      </w:pPr>
      <w:bookmarkStart w:id="60" w:name="_Toc31983248"/>
      <w:bookmarkStart w:id="61" w:name="_Toc33443332"/>
      <w:r>
        <w:lastRenderedPageBreak/>
        <w:t xml:space="preserve">Figure </w:t>
      </w:r>
      <w:fldSimple w:instr=" STYLEREF 1 \s ">
        <w:r w:rsidR="004B1200">
          <w:rPr>
            <w:noProof/>
          </w:rPr>
          <w:t>3</w:t>
        </w:r>
      </w:fldSimple>
      <w:r>
        <w:t>.</w:t>
      </w:r>
      <w:r>
        <w:rPr>
          <w:noProof/>
        </w:rPr>
        <w:fldChar w:fldCharType="begin"/>
      </w:r>
      <w:r>
        <w:rPr>
          <w:noProof/>
        </w:rPr>
        <w:instrText xml:space="preserve"> SEQ Figure \* ARABIC \s 1 </w:instrText>
      </w:r>
      <w:r>
        <w:rPr>
          <w:noProof/>
        </w:rPr>
        <w:fldChar w:fldCharType="separate"/>
      </w:r>
      <w:r w:rsidR="004B1200">
        <w:rPr>
          <w:noProof/>
        </w:rPr>
        <w:t>1</w:t>
      </w:r>
      <w:r>
        <w:rPr>
          <w:noProof/>
        </w:rPr>
        <w:fldChar w:fldCharType="end"/>
      </w:r>
      <w:r>
        <w:t xml:space="preserve">. </w:t>
      </w:r>
      <w:r w:rsidR="0071380B">
        <w:t>Y</w:t>
      </w:r>
      <w:r w:rsidR="001D75D1">
        <w:t>ear of creation</w:t>
      </w:r>
      <w:r w:rsidR="0071380B">
        <w:t xml:space="preserve"> of IPAs</w:t>
      </w:r>
      <w:bookmarkEnd w:id="60"/>
      <w:bookmarkEnd w:id="61"/>
    </w:p>
    <w:p w14:paraId="6D0BAF6C" w14:textId="77777777" w:rsidR="00EB64D1" w:rsidRDefault="00370CD8" w:rsidP="00135DF1">
      <w:pPr>
        <w:pStyle w:val="Figure"/>
        <w:rPr>
          <w:i/>
        </w:rPr>
      </w:pPr>
      <w:r w:rsidRPr="00370CD8">
        <w:rPr>
          <w:noProof/>
          <w:lang w:eastAsia="en-GB"/>
        </w:rPr>
        <w:drawing>
          <wp:inline distT="0" distB="0" distL="0" distR="0" wp14:anchorId="2F318A76" wp14:editId="727BAEB6">
            <wp:extent cx="5040000" cy="2492870"/>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000" cy="2492870"/>
                    </a:xfrm>
                    <a:prstGeom prst="rect">
                      <a:avLst/>
                    </a:prstGeom>
                    <a:noFill/>
                    <a:ln>
                      <a:noFill/>
                    </a:ln>
                  </pic:spPr>
                </pic:pic>
              </a:graphicData>
            </a:graphic>
          </wp:inline>
        </w:drawing>
      </w:r>
    </w:p>
    <w:p w14:paraId="7455B1F3" w14:textId="77777777" w:rsidR="00EB64D1" w:rsidRDefault="00EB64D1" w:rsidP="00135DF1">
      <w:pPr>
        <w:pStyle w:val="Sourcenotes"/>
      </w:pPr>
      <w:r w:rsidRPr="00454399">
        <w:rPr>
          <w:i/>
        </w:rPr>
        <w:t>Note</w:t>
      </w:r>
      <w:r>
        <w:t xml:space="preserve">: </w:t>
      </w:r>
      <w:r w:rsidR="0071380B">
        <w:t>Ukraine’s current IPA,</w:t>
      </w:r>
      <w:r w:rsidR="001F685A" w:rsidRPr="001F685A">
        <w:t xml:space="preserve"> Ukraine</w:t>
      </w:r>
      <w:r w:rsidR="00C603B8">
        <w:t xml:space="preserve"> </w:t>
      </w:r>
      <w:r w:rsidR="001F685A" w:rsidRPr="001F685A">
        <w:t>Invest was created in 2016</w:t>
      </w:r>
      <w:r>
        <w:t>.</w:t>
      </w:r>
    </w:p>
    <w:p w14:paraId="1698B0E4" w14:textId="77777777" w:rsidR="00EB64D1" w:rsidRPr="00454399" w:rsidRDefault="00EB64D1" w:rsidP="00135DF1">
      <w:pPr>
        <w:pStyle w:val="Sourcenotes"/>
      </w:pPr>
      <w:r w:rsidRPr="00454399">
        <w:rPr>
          <w:i/>
        </w:rPr>
        <w:t>Source</w:t>
      </w:r>
      <w:r>
        <w:t xml:space="preserve">: </w:t>
      </w:r>
      <w:r w:rsidR="001F685A">
        <w:t>OECD-IDB survey of Investment Promotion Agencies (2019)</w:t>
      </w:r>
      <w:r w:rsidR="00C603B8">
        <w:t>.</w:t>
      </w:r>
    </w:p>
    <w:p w14:paraId="7AC6C6CF" w14:textId="28D4EC78" w:rsidR="001D65D2" w:rsidRDefault="001D65D2" w:rsidP="00135DF1">
      <w:pPr>
        <w:pStyle w:val="Caption"/>
      </w:pPr>
      <w:bookmarkStart w:id="62" w:name="_Toc31983260"/>
      <w:bookmarkStart w:id="63" w:name="_Toc33443311"/>
      <w:r>
        <w:t xml:space="preserve">Table </w:t>
      </w:r>
      <w:fldSimple w:instr=" STYLEREF 1 \s ">
        <w:r w:rsidR="004B1200">
          <w:rPr>
            <w:noProof/>
          </w:rPr>
          <w:t>3</w:t>
        </w:r>
      </w:fldSimple>
      <w:r>
        <w:t>.</w:t>
      </w:r>
      <w:r>
        <w:rPr>
          <w:noProof/>
        </w:rPr>
        <w:fldChar w:fldCharType="begin"/>
      </w:r>
      <w:r>
        <w:rPr>
          <w:noProof/>
        </w:rPr>
        <w:instrText xml:space="preserve"> SEQ Table \* ARABIC \s 1 </w:instrText>
      </w:r>
      <w:r>
        <w:rPr>
          <w:noProof/>
        </w:rPr>
        <w:fldChar w:fldCharType="separate"/>
      </w:r>
      <w:r w:rsidR="004B1200">
        <w:rPr>
          <w:noProof/>
        </w:rPr>
        <w:t>1</w:t>
      </w:r>
      <w:r>
        <w:rPr>
          <w:noProof/>
        </w:rPr>
        <w:fldChar w:fldCharType="end"/>
      </w:r>
      <w:r>
        <w:t xml:space="preserve">. </w:t>
      </w:r>
      <w:r w:rsidR="00AB00D1">
        <w:t>Summary of o</w:t>
      </w:r>
      <w:r w:rsidR="006546A6">
        <w:t>rganisational reforms over last five years</w:t>
      </w:r>
      <w:bookmarkEnd w:id="62"/>
      <w:bookmarkEnd w:id="63"/>
    </w:p>
    <w:tbl>
      <w:tblPr>
        <w:tblStyle w:val="OECD"/>
        <w:tblW w:w="7938" w:type="dxa"/>
        <w:tblLook w:val="0420" w:firstRow="1" w:lastRow="0" w:firstColumn="0" w:lastColumn="0" w:noHBand="0" w:noVBand="1"/>
      </w:tblPr>
      <w:tblGrid>
        <w:gridCol w:w="993"/>
        <w:gridCol w:w="850"/>
        <w:gridCol w:w="6095"/>
      </w:tblGrid>
      <w:tr w:rsidR="001D65D2" w:rsidRPr="00432CF9" w14:paraId="601CD142" w14:textId="77777777" w:rsidTr="00403F2B">
        <w:trPr>
          <w:cnfStyle w:val="100000000000" w:firstRow="1" w:lastRow="0" w:firstColumn="0" w:lastColumn="0" w:oddVBand="0" w:evenVBand="0" w:oddHBand="0" w:evenHBand="0" w:firstRowFirstColumn="0" w:firstRowLastColumn="0" w:lastRowFirstColumn="0" w:lastRowLastColumn="0"/>
        </w:trPr>
        <w:tc>
          <w:tcPr>
            <w:tcW w:w="993" w:type="dxa"/>
            <w:tcBorders>
              <w:bottom w:val="single" w:sz="4" w:space="0" w:color="auto"/>
            </w:tcBorders>
          </w:tcPr>
          <w:p w14:paraId="36C5E4F1" w14:textId="77777777" w:rsidR="001D65D2" w:rsidRPr="00432CF9" w:rsidRDefault="001D65D2" w:rsidP="006546A6">
            <w:pPr>
              <w:pStyle w:val="TableColumn"/>
              <w:jc w:val="left"/>
              <w:rPr>
                <w:lang w:val="en-GB"/>
              </w:rPr>
            </w:pPr>
            <w:r w:rsidRPr="00432CF9">
              <w:rPr>
                <w:lang w:val="en-GB"/>
              </w:rPr>
              <w:t>Country</w:t>
            </w:r>
          </w:p>
        </w:tc>
        <w:tc>
          <w:tcPr>
            <w:tcW w:w="850" w:type="dxa"/>
            <w:tcBorders>
              <w:bottom w:val="single" w:sz="4" w:space="0" w:color="auto"/>
            </w:tcBorders>
          </w:tcPr>
          <w:p w14:paraId="60ECC133" w14:textId="77777777" w:rsidR="001D65D2" w:rsidRPr="00432CF9" w:rsidRDefault="001D65D2" w:rsidP="006546A6">
            <w:pPr>
              <w:pStyle w:val="TableColumn"/>
              <w:jc w:val="left"/>
              <w:rPr>
                <w:lang w:val="en-GB"/>
              </w:rPr>
            </w:pPr>
            <w:r w:rsidRPr="00432CF9">
              <w:rPr>
                <w:lang w:val="en-GB"/>
              </w:rPr>
              <w:t>Year</w:t>
            </w:r>
          </w:p>
        </w:tc>
        <w:tc>
          <w:tcPr>
            <w:tcW w:w="6095" w:type="dxa"/>
            <w:tcBorders>
              <w:bottom w:val="single" w:sz="4" w:space="0" w:color="auto"/>
            </w:tcBorders>
          </w:tcPr>
          <w:p w14:paraId="75BC9E96" w14:textId="77777777" w:rsidR="001D65D2" w:rsidRPr="00432CF9" w:rsidRDefault="001D65D2" w:rsidP="001D65D2">
            <w:pPr>
              <w:pStyle w:val="TableColumn"/>
              <w:rPr>
                <w:lang w:val="en-GB"/>
              </w:rPr>
            </w:pPr>
            <w:r w:rsidRPr="00432CF9">
              <w:rPr>
                <w:lang w:val="en-GB"/>
              </w:rPr>
              <w:t>IPA reform</w:t>
            </w:r>
          </w:p>
        </w:tc>
      </w:tr>
      <w:tr w:rsidR="001D65D2" w:rsidRPr="00432CF9" w14:paraId="036E6037" w14:textId="77777777" w:rsidTr="00403F2B">
        <w:trPr>
          <w:cnfStyle w:val="000000100000" w:firstRow="0" w:lastRow="0" w:firstColumn="0" w:lastColumn="0" w:oddVBand="0" w:evenVBand="0" w:oddHBand="1" w:evenHBand="0" w:firstRowFirstColumn="0" w:firstRowLastColumn="0" w:lastRowFirstColumn="0" w:lastRowLastColumn="0"/>
        </w:trPr>
        <w:tc>
          <w:tcPr>
            <w:tcW w:w="993" w:type="dxa"/>
            <w:tcBorders>
              <w:top w:val="single" w:sz="4" w:space="0" w:color="auto"/>
            </w:tcBorders>
          </w:tcPr>
          <w:p w14:paraId="4C94B90D" w14:textId="77777777" w:rsidR="001D65D2" w:rsidRPr="00432CF9" w:rsidRDefault="006546A6" w:rsidP="006546A6">
            <w:pPr>
              <w:pStyle w:val="TableRow"/>
              <w:rPr>
                <w:lang w:val="en-GB"/>
              </w:rPr>
            </w:pPr>
            <w:r w:rsidRPr="00432CF9">
              <w:rPr>
                <w:lang w:val="en-GB"/>
              </w:rPr>
              <w:t>Armenia</w:t>
            </w:r>
          </w:p>
        </w:tc>
        <w:tc>
          <w:tcPr>
            <w:tcW w:w="850" w:type="dxa"/>
            <w:tcBorders>
              <w:top w:val="single" w:sz="4" w:space="0" w:color="auto"/>
            </w:tcBorders>
          </w:tcPr>
          <w:p w14:paraId="008C0D08" w14:textId="77777777" w:rsidR="001D65D2" w:rsidRPr="00432CF9" w:rsidRDefault="000E66CD" w:rsidP="006546A6">
            <w:pPr>
              <w:pStyle w:val="TableCell"/>
              <w:jc w:val="left"/>
              <w:rPr>
                <w:lang w:val="en-GB"/>
              </w:rPr>
            </w:pPr>
            <w:r w:rsidRPr="00432CF9">
              <w:rPr>
                <w:lang w:val="en-GB"/>
              </w:rPr>
              <w:t>201</w:t>
            </w:r>
            <w:r w:rsidR="00FF0E9C">
              <w:rPr>
                <w:lang w:val="en-GB"/>
              </w:rPr>
              <w:t>4</w:t>
            </w:r>
          </w:p>
        </w:tc>
        <w:tc>
          <w:tcPr>
            <w:tcW w:w="6095" w:type="dxa"/>
            <w:tcBorders>
              <w:top w:val="single" w:sz="4" w:space="0" w:color="auto"/>
            </w:tcBorders>
          </w:tcPr>
          <w:p w14:paraId="17DC8F33" w14:textId="22814F2F" w:rsidR="001D65D2" w:rsidRPr="00432CF9" w:rsidRDefault="00FF0E9C" w:rsidP="008C6D4A">
            <w:pPr>
              <w:pStyle w:val="TableCell"/>
              <w:jc w:val="left"/>
              <w:rPr>
                <w:lang w:val="en-GB"/>
              </w:rPr>
            </w:pPr>
            <w:r>
              <w:rPr>
                <w:lang w:val="en-GB"/>
              </w:rPr>
              <w:t>The Industrial Development Fund</w:t>
            </w:r>
            <w:r w:rsidR="00DE6EE6">
              <w:rPr>
                <w:lang w:val="en-GB"/>
              </w:rPr>
              <w:t>,</w:t>
            </w:r>
            <w:r>
              <w:rPr>
                <w:lang w:val="en-GB"/>
              </w:rPr>
              <w:t xml:space="preserve"> </w:t>
            </w:r>
            <w:r w:rsidRPr="00FF0E9C">
              <w:rPr>
                <w:lang w:val="en-GB"/>
              </w:rPr>
              <w:t>the National Competitiveness Framework and the National Tourism Agenc</w:t>
            </w:r>
            <w:r>
              <w:rPr>
                <w:lang w:val="en-GB"/>
              </w:rPr>
              <w:t xml:space="preserve">y were merged into the </w:t>
            </w:r>
            <w:r w:rsidR="005F3B1D" w:rsidRPr="005F3B1D">
              <w:rPr>
                <w:lang w:val="en-GB"/>
              </w:rPr>
              <w:t>Development Foundation of Armenia</w:t>
            </w:r>
            <w:r w:rsidR="005F3B1D">
              <w:rPr>
                <w:lang w:val="en-GB"/>
              </w:rPr>
              <w:t>.</w:t>
            </w:r>
          </w:p>
        </w:tc>
      </w:tr>
      <w:tr w:rsidR="00FF0E9C" w:rsidRPr="00432CF9" w14:paraId="543BAE21" w14:textId="77777777" w:rsidTr="00403F2B">
        <w:trPr>
          <w:cnfStyle w:val="000000010000" w:firstRow="0" w:lastRow="0" w:firstColumn="0" w:lastColumn="0" w:oddVBand="0" w:evenVBand="0" w:oddHBand="0" w:evenHBand="1" w:firstRowFirstColumn="0" w:firstRowLastColumn="0" w:lastRowFirstColumn="0" w:lastRowLastColumn="0"/>
        </w:trPr>
        <w:tc>
          <w:tcPr>
            <w:tcW w:w="993" w:type="dxa"/>
          </w:tcPr>
          <w:p w14:paraId="3C6DBDF0" w14:textId="77777777" w:rsidR="00FF0E9C" w:rsidRPr="00432CF9" w:rsidRDefault="00FF0E9C" w:rsidP="00FF0E9C">
            <w:pPr>
              <w:pStyle w:val="TableRow"/>
            </w:pPr>
          </w:p>
        </w:tc>
        <w:tc>
          <w:tcPr>
            <w:tcW w:w="850" w:type="dxa"/>
          </w:tcPr>
          <w:p w14:paraId="591C78DD" w14:textId="77777777" w:rsidR="00FF0E9C" w:rsidRPr="00432CF9" w:rsidRDefault="00FF0E9C" w:rsidP="00FF0E9C">
            <w:pPr>
              <w:pStyle w:val="TableCell"/>
              <w:jc w:val="left"/>
              <w:rPr>
                <w:lang w:val="en-GB"/>
              </w:rPr>
            </w:pPr>
            <w:r w:rsidRPr="00432CF9">
              <w:rPr>
                <w:lang w:val="en-GB"/>
              </w:rPr>
              <w:t>2018</w:t>
            </w:r>
          </w:p>
        </w:tc>
        <w:tc>
          <w:tcPr>
            <w:tcW w:w="6095" w:type="dxa"/>
          </w:tcPr>
          <w:p w14:paraId="3455A22F" w14:textId="77777777" w:rsidR="00FF0E9C" w:rsidRPr="00432CF9" w:rsidRDefault="00FF0E9C" w:rsidP="00FF0E9C">
            <w:pPr>
              <w:pStyle w:val="TableCell"/>
              <w:jc w:val="left"/>
              <w:rPr>
                <w:lang w:val="en-GB"/>
              </w:rPr>
            </w:pPr>
            <w:r w:rsidRPr="00432CF9">
              <w:rPr>
                <w:lang w:val="en-GB"/>
              </w:rPr>
              <w:t>The Development Foundation of Armenia became a state-funded autonomous agency called Business Armenia</w:t>
            </w:r>
            <w:r>
              <w:rPr>
                <w:lang w:val="en-GB"/>
              </w:rPr>
              <w:t>.</w:t>
            </w:r>
          </w:p>
        </w:tc>
      </w:tr>
      <w:tr w:rsidR="000E66CD" w:rsidRPr="00432CF9" w14:paraId="646EDF14" w14:textId="77777777" w:rsidTr="00403F2B">
        <w:trPr>
          <w:cnfStyle w:val="000000100000" w:firstRow="0" w:lastRow="0" w:firstColumn="0" w:lastColumn="0" w:oddVBand="0" w:evenVBand="0" w:oddHBand="1" w:evenHBand="0" w:firstRowFirstColumn="0" w:firstRowLastColumn="0" w:lastRowFirstColumn="0" w:lastRowLastColumn="0"/>
        </w:trPr>
        <w:tc>
          <w:tcPr>
            <w:tcW w:w="993" w:type="dxa"/>
          </w:tcPr>
          <w:p w14:paraId="109405A7" w14:textId="77777777" w:rsidR="000E66CD" w:rsidRPr="00432CF9" w:rsidRDefault="000E66CD" w:rsidP="006546A6">
            <w:pPr>
              <w:pStyle w:val="TableRow"/>
              <w:rPr>
                <w:lang w:val="en-GB"/>
              </w:rPr>
            </w:pPr>
          </w:p>
        </w:tc>
        <w:tc>
          <w:tcPr>
            <w:tcW w:w="850" w:type="dxa"/>
          </w:tcPr>
          <w:p w14:paraId="19A98D18" w14:textId="77777777" w:rsidR="000E66CD" w:rsidRPr="00432CF9" w:rsidRDefault="000E66CD" w:rsidP="006546A6">
            <w:pPr>
              <w:pStyle w:val="TableCell"/>
              <w:jc w:val="left"/>
              <w:rPr>
                <w:lang w:val="en-GB"/>
              </w:rPr>
            </w:pPr>
            <w:r w:rsidRPr="00432CF9">
              <w:rPr>
                <w:lang w:val="en-GB"/>
              </w:rPr>
              <w:t>2019</w:t>
            </w:r>
          </w:p>
        </w:tc>
        <w:tc>
          <w:tcPr>
            <w:tcW w:w="6095" w:type="dxa"/>
          </w:tcPr>
          <w:p w14:paraId="189698C1" w14:textId="77777777" w:rsidR="000E66CD" w:rsidRPr="00432CF9" w:rsidRDefault="007D2B05" w:rsidP="00B70AAC">
            <w:pPr>
              <w:pStyle w:val="TableCell"/>
              <w:jc w:val="left"/>
              <w:rPr>
                <w:lang w:val="en-GB"/>
              </w:rPr>
            </w:pPr>
            <w:r w:rsidRPr="00432CF9">
              <w:rPr>
                <w:lang w:val="en-GB"/>
              </w:rPr>
              <w:t xml:space="preserve">Business Armenia </w:t>
            </w:r>
            <w:r w:rsidR="00B70AAC" w:rsidRPr="00432CF9">
              <w:rPr>
                <w:lang w:val="en-GB"/>
              </w:rPr>
              <w:t xml:space="preserve">was dissolved and </w:t>
            </w:r>
            <w:r w:rsidR="00C42D57" w:rsidRPr="00432CF9">
              <w:rPr>
                <w:lang w:val="en-GB"/>
              </w:rPr>
              <w:t>its functions are to be absorbed by the Ministry of Economy as part of a Government-wide streamlining programme.</w:t>
            </w:r>
          </w:p>
        </w:tc>
      </w:tr>
      <w:tr w:rsidR="006546A6" w:rsidRPr="00432CF9" w14:paraId="6654EA0E" w14:textId="77777777" w:rsidTr="00403F2B">
        <w:trPr>
          <w:cnfStyle w:val="000000010000" w:firstRow="0" w:lastRow="0" w:firstColumn="0" w:lastColumn="0" w:oddVBand="0" w:evenVBand="0" w:oddHBand="0" w:evenHBand="1" w:firstRowFirstColumn="0" w:firstRowLastColumn="0" w:lastRowFirstColumn="0" w:lastRowLastColumn="0"/>
        </w:trPr>
        <w:tc>
          <w:tcPr>
            <w:tcW w:w="993" w:type="dxa"/>
          </w:tcPr>
          <w:p w14:paraId="247BD830" w14:textId="77777777" w:rsidR="006546A6" w:rsidRPr="00432CF9" w:rsidRDefault="006546A6" w:rsidP="006546A6">
            <w:pPr>
              <w:pStyle w:val="TableRow"/>
              <w:rPr>
                <w:lang w:val="en-GB"/>
              </w:rPr>
            </w:pPr>
            <w:r w:rsidRPr="00432CF9">
              <w:rPr>
                <w:lang w:val="en-GB"/>
              </w:rPr>
              <w:t xml:space="preserve">Georgia </w:t>
            </w:r>
          </w:p>
        </w:tc>
        <w:tc>
          <w:tcPr>
            <w:tcW w:w="850" w:type="dxa"/>
          </w:tcPr>
          <w:p w14:paraId="3E217E2F" w14:textId="77777777" w:rsidR="006546A6" w:rsidRPr="00432CF9" w:rsidRDefault="006546A6" w:rsidP="006546A6">
            <w:pPr>
              <w:pStyle w:val="TableCell"/>
              <w:jc w:val="left"/>
              <w:rPr>
                <w:lang w:val="en-GB"/>
              </w:rPr>
            </w:pPr>
            <w:r w:rsidRPr="00432CF9">
              <w:rPr>
                <w:lang w:val="en-GB"/>
              </w:rPr>
              <w:t>2015</w:t>
            </w:r>
          </w:p>
        </w:tc>
        <w:tc>
          <w:tcPr>
            <w:tcW w:w="6095" w:type="dxa"/>
          </w:tcPr>
          <w:p w14:paraId="25F29543" w14:textId="2C4933AA" w:rsidR="006546A6" w:rsidRPr="00432CF9" w:rsidRDefault="006546A6" w:rsidP="006546A6">
            <w:pPr>
              <w:pStyle w:val="TableCell"/>
              <w:jc w:val="left"/>
              <w:rPr>
                <w:lang w:val="en-GB"/>
              </w:rPr>
            </w:pPr>
            <w:r w:rsidRPr="00432CF9">
              <w:rPr>
                <w:lang w:val="en-GB"/>
              </w:rPr>
              <w:t>The Georgian National Investment Promotion Agency was moved under the direct supervision of the Prime Minister and was separated from the “Partnership Fund”</w:t>
            </w:r>
            <w:r w:rsidR="000A7ECF">
              <w:rPr>
                <w:lang w:val="en-GB"/>
              </w:rPr>
              <w:t>.</w:t>
            </w:r>
          </w:p>
        </w:tc>
      </w:tr>
      <w:tr w:rsidR="006546A6" w:rsidRPr="00432CF9" w14:paraId="0E227FAE" w14:textId="77777777" w:rsidTr="00403F2B">
        <w:trPr>
          <w:cnfStyle w:val="000000100000" w:firstRow="0" w:lastRow="0" w:firstColumn="0" w:lastColumn="0" w:oddVBand="0" w:evenVBand="0" w:oddHBand="1" w:evenHBand="0" w:firstRowFirstColumn="0" w:firstRowLastColumn="0" w:lastRowFirstColumn="0" w:lastRowLastColumn="0"/>
        </w:trPr>
        <w:tc>
          <w:tcPr>
            <w:tcW w:w="993" w:type="dxa"/>
          </w:tcPr>
          <w:p w14:paraId="62A3F632" w14:textId="77777777" w:rsidR="006546A6" w:rsidRPr="00432CF9" w:rsidRDefault="006546A6" w:rsidP="006546A6">
            <w:pPr>
              <w:pStyle w:val="TableRow"/>
              <w:rPr>
                <w:lang w:val="en-GB"/>
              </w:rPr>
            </w:pPr>
          </w:p>
        </w:tc>
        <w:tc>
          <w:tcPr>
            <w:tcW w:w="850" w:type="dxa"/>
          </w:tcPr>
          <w:p w14:paraId="4728D792" w14:textId="77777777" w:rsidR="006546A6" w:rsidRPr="00432CF9" w:rsidRDefault="006546A6" w:rsidP="006546A6">
            <w:pPr>
              <w:pStyle w:val="TableCell"/>
              <w:jc w:val="left"/>
              <w:rPr>
                <w:lang w:val="en-GB"/>
              </w:rPr>
            </w:pPr>
            <w:r w:rsidRPr="00432CF9">
              <w:rPr>
                <w:lang w:val="en-GB"/>
              </w:rPr>
              <w:t>2017</w:t>
            </w:r>
          </w:p>
        </w:tc>
        <w:tc>
          <w:tcPr>
            <w:tcW w:w="6095" w:type="dxa"/>
          </w:tcPr>
          <w:p w14:paraId="04E2DC1A" w14:textId="1642B3D0" w:rsidR="006546A6" w:rsidRPr="00432CF9" w:rsidRDefault="006546A6" w:rsidP="006546A6">
            <w:pPr>
              <w:pStyle w:val="TableCell"/>
              <w:jc w:val="left"/>
              <w:rPr>
                <w:lang w:val="en-GB"/>
              </w:rPr>
            </w:pPr>
            <w:r w:rsidRPr="00432CF9">
              <w:rPr>
                <w:lang w:val="en-GB"/>
              </w:rPr>
              <w:t>The Georgian National Investment Promotion Agency was merged with the Enterprise Development Agency and became Enterprise Georgia</w:t>
            </w:r>
            <w:r w:rsidR="000A7ECF">
              <w:rPr>
                <w:lang w:val="en-GB"/>
              </w:rPr>
              <w:t>.</w:t>
            </w:r>
          </w:p>
        </w:tc>
      </w:tr>
      <w:tr w:rsidR="006546A6" w:rsidRPr="00432CF9" w14:paraId="7182E38A" w14:textId="77777777" w:rsidTr="00403F2B">
        <w:trPr>
          <w:cnfStyle w:val="000000010000" w:firstRow="0" w:lastRow="0" w:firstColumn="0" w:lastColumn="0" w:oddVBand="0" w:evenVBand="0" w:oddHBand="0" w:evenHBand="1" w:firstRowFirstColumn="0" w:firstRowLastColumn="0" w:lastRowFirstColumn="0" w:lastRowLastColumn="0"/>
        </w:trPr>
        <w:tc>
          <w:tcPr>
            <w:tcW w:w="993" w:type="dxa"/>
          </w:tcPr>
          <w:p w14:paraId="5C88EC75" w14:textId="77777777" w:rsidR="006546A6" w:rsidRPr="00432CF9" w:rsidRDefault="006546A6" w:rsidP="006546A6">
            <w:pPr>
              <w:pStyle w:val="TableRow"/>
              <w:rPr>
                <w:lang w:val="en-GB"/>
              </w:rPr>
            </w:pPr>
          </w:p>
        </w:tc>
        <w:tc>
          <w:tcPr>
            <w:tcW w:w="850" w:type="dxa"/>
          </w:tcPr>
          <w:p w14:paraId="0BE431D4" w14:textId="77777777" w:rsidR="006546A6" w:rsidRPr="00432CF9" w:rsidRDefault="006546A6" w:rsidP="006546A6">
            <w:pPr>
              <w:pStyle w:val="TableCell"/>
              <w:jc w:val="left"/>
              <w:rPr>
                <w:lang w:val="en-GB"/>
              </w:rPr>
            </w:pPr>
            <w:r w:rsidRPr="00432CF9">
              <w:rPr>
                <w:lang w:val="en-GB"/>
              </w:rPr>
              <w:t>2018</w:t>
            </w:r>
          </w:p>
        </w:tc>
        <w:tc>
          <w:tcPr>
            <w:tcW w:w="6095" w:type="dxa"/>
          </w:tcPr>
          <w:p w14:paraId="4C584604" w14:textId="685C7F8B" w:rsidR="006546A6" w:rsidRPr="00432CF9" w:rsidRDefault="006546A6" w:rsidP="006546A6">
            <w:pPr>
              <w:pStyle w:val="TableCell"/>
              <w:jc w:val="left"/>
              <w:rPr>
                <w:lang w:val="en-GB"/>
              </w:rPr>
            </w:pPr>
            <w:r w:rsidRPr="00432CF9">
              <w:rPr>
                <w:lang w:val="en-GB"/>
              </w:rPr>
              <w:t>Two departments responsible for investment promotion and investment support were merged and currently there is one investment department at the agency</w:t>
            </w:r>
            <w:r w:rsidR="000A7ECF">
              <w:rPr>
                <w:lang w:val="en-GB"/>
              </w:rPr>
              <w:t>.</w:t>
            </w:r>
          </w:p>
        </w:tc>
      </w:tr>
      <w:tr w:rsidR="006546A6" w:rsidRPr="00432CF9" w14:paraId="128CA700" w14:textId="77777777" w:rsidTr="00403F2B">
        <w:trPr>
          <w:cnfStyle w:val="000000100000" w:firstRow="0" w:lastRow="0" w:firstColumn="0" w:lastColumn="0" w:oddVBand="0" w:evenVBand="0" w:oddHBand="1" w:evenHBand="0" w:firstRowFirstColumn="0" w:firstRowLastColumn="0" w:lastRowFirstColumn="0" w:lastRowLastColumn="0"/>
        </w:trPr>
        <w:tc>
          <w:tcPr>
            <w:tcW w:w="993" w:type="dxa"/>
          </w:tcPr>
          <w:p w14:paraId="4560080A" w14:textId="77777777" w:rsidR="006546A6" w:rsidRPr="00432CF9" w:rsidRDefault="006546A6" w:rsidP="006546A6">
            <w:pPr>
              <w:pStyle w:val="TableRow"/>
              <w:rPr>
                <w:lang w:val="en-GB"/>
              </w:rPr>
            </w:pPr>
            <w:r w:rsidRPr="00432CF9">
              <w:rPr>
                <w:lang w:val="en-GB"/>
              </w:rPr>
              <w:t>Moldova</w:t>
            </w:r>
          </w:p>
        </w:tc>
        <w:tc>
          <w:tcPr>
            <w:tcW w:w="850" w:type="dxa"/>
          </w:tcPr>
          <w:p w14:paraId="1021387C" w14:textId="77777777" w:rsidR="006546A6" w:rsidRPr="00432CF9" w:rsidRDefault="006546A6" w:rsidP="006546A6">
            <w:pPr>
              <w:pStyle w:val="TableCell"/>
              <w:jc w:val="left"/>
              <w:rPr>
                <w:lang w:val="en-GB"/>
              </w:rPr>
            </w:pPr>
            <w:r w:rsidRPr="00432CF9">
              <w:rPr>
                <w:lang w:val="en-GB"/>
              </w:rPr>
              <w:t>2019</w:t>
            </w:r>
          </w:p>
        </w:tc>
        <w:tc>
          <w:tcPr>
            <w:tcW w:w="6095" w:type="dxa"/>
          </w:tcPr>
          <w:p w14:paraId="6580A025" w14:textId="77777777" w:rsidR="006546A6" w:rsidRPr="00432CF9" w:rsidRDefault="006546A6" w:rsidP="006546A6">
            <w:pPr>
              <w:pStyle w:val="TableCell"/>
              <w:jc w:val="left"/>
              <w:rPr>
                <w:lang w:val="en-GB"/>
              </w:rPr>
            </w:pPr>
            <w:r w:rsidRPr="00432CF9">
              <w:rPr>
                <w:lang w:val="en-GB"/>
              </w:rPr>
              <w:t>Invest Moldova lost status of autonomous agency and became a departmental unit of the Ministry of Economy, and remains under restructuring.</w:t>
            </w:r>
          </w:p>
        </w:tc>
      </w:tr>
      <w:tr w:rsidR="006546A6" w:rsidRPr="00432CF9" w14:paraId="0267AA88" w14:textId="77777777" w:rsidTr="00403F2B">
        <w:trPr>
          <w:cnfStyle w:val="000000010000" w:firstRow="0" w:lastRow="0" w:firstColumn="0" w:lastColumn="0" w:oddVBand="0" w:evenVBand="0" w:oddHBand="0" w:evenHBand="1" w:firstRowFirstColumn="0" w:firstRowLastColumn="0" w:lastRowFirstColumn="0" w:lastRowLastColumn="0"/>
        </w:trPr>
        <w:tc>
          <w:tcPr>
            <w:tcW w:w="993" w:type="dxa"/>
          </w:tcPr>
          <w:p w14:paraId="38EF72A2" w14:textId="77777777" w:rsidR="006546A6" w:rsidRPr="00432CF9" w:rsidRDefault="006546A6" w:rsidP="006546A6">
            <w:pPr>
              <w:pStyle w:val="TableRow"/>
              <w:rPr>
                <w:lang w:val="en-GB"/>
              </w:rPr>
            </w:pPr>
            <w:r w:rsidRPr="00432CF9">
              <w:rPr>
                <w:lang w:val="en-GB"/>
              </w:rPr>
              <w:t>Ukraine</w:t>
            </w:r>
          </w:p>
        </w:tc>
        <w:tc>
          <w:tcPr>
            <w:tcW w:w="850" w:type="dxa"/>
          </w:tcPr>
          <w:p w14:paraId="550D7D34" w14:textId="77777777" w:rsidR="006546A6" w:rsidRPr="00432CF9" w:rsidRDefault="006546A6" w:rsidP="006546A6">
            <w:pPr>
              <w:pStyle w:val="TableCell"/>
              <w:jc w:val="left"/>
              <w:rPr>
                <w:lang w:val="en-GB"/>
              </w:rPr>
            </w:pPr>
            <w:r w:rsidRPr="00432CF9">
              <w:rPr>
                <w:lang w:val="en-GB"/>
              </w:rPr>
              <w:t>201</w:t>
            </w:r>
            <w:r w:rsidR="00AB00D1" w:rsidRPr="00432CF9">
              <w:rPr>
                <w:lang w:val="en-GB"/>
              </w:rPr>
              <w:t>4</w:t>
            </w:r>
          </w:p>
        </w:tc>
        <w:tc>
          <w:tcPr>
            <w:tcW w:w="6095" w:type="dxa"/>
          </w:tcPr>
          <w:p w14:paraId="01891141" w14:textId="749E1CEF" w:rsidR="006546A6" w:rsidRPr="00432CF9" w:rsidRDefault="00AB00D1" w:rsidP="00AB00D1">
            <w:pPr>
              <w:pStyle w:val="TableCell"/>
              <w:jc w:val="left"/>
              <w:rPr>
                <w:lang w:val="en-GB"/>
              </w:rPr>
            </w:pPr>
            <w:r w:rsidRPr="00432CF9">
              <w:rPr>
                <w:lang w:val="en-GB"/>
              </w:rPr>
              <w:t>The State A</w:t>
            </w:r>
            <w:r w:rsidR="006546A6" w:rsidRPr="00432CF9">
              <w:rPr>
                <w:lang w:val="en-GB"/>
              </w:rPr>
              <w:t xml:space="preserve">gency for </w:t>
            </w:r>
            <w:r w:rsidRPr="00432CF9">
              <w:rPr>
                <w:lang w:val="en-GB"/>
              </w:rPr>
              <w:t>Investment and National Projects (SAINP) was liquidated and its functions passed to the Ministry of Economic Development and Trade</w:t>
            </w:r>
            <w:r w:rsidR="000A7ECF">
              <w:rPr>
                <w:lang w:val="en-GB"/>
              </w:rPr>
              <w:t>.</w:t>
            </w:r>
          </w:p>
        </w:tc>
      </w:tr>
      <w:tr w:rsidR="00AB00D1" w:rsidRPr="00432CF9" w14:paraId="25FABD96" w14:textId="77777777" w:rsidTr="00403F2B">
        <w:trPr>
          <w:cnfStyle w:val="000000100000" w:firstRow="0" w:lastRow="0" w:firstColumn="0" w:lastColumn="0" w:oddVBand="0" w:evenVBand="0" w:oddHBand="1" w:evenHBand="0" w:firstRowFirstColumn="0" w:firstRowLastColumn="0" w:lastRowFirstColumn="0" w:lastRowLastColumn="0"/>
        </w:trPr>
        <w:tc>
          <w:tcPr>
            <w:tcW w:w="993" w:type="dxa"/>
          </w:tcPr>
          <w:p w14:paraId="5E05D48F" w14:textId="77777777" w:rsidR="00AB00D1" w:rsidRPr="00432CF9" w:rsidRDefault="00AB00D1" w:rsidP="006546A6">
            <w:pPr>
              <w:pStyle w:val="TableRow"/>
              <w:rPr>
                <w:lang w:val="en-GB"/>
              </w:rPr>
            </w:pPr>
          </w:p>
        </w:tc>
        <w:tc>
          <w:tcPr>
            <w:tcW w:w="850" w:type="dxa"/>
          </w:tcPr>
          <w:p w14:paraId="20B85D49" w14:textId="77777777" w:rsidR="00AB00D1" w:rsidRPr="00432CF9" w:rsidRDefault="00AB00D1" w:rsidP="006546A6">
            <w:pPr>
              <w:pStyle w:val="TableCell"/>
              <w:jc w:val="left"/>
              <w:rPr>
                <w:lang w:val="en-GB"/>
              </w:rPr>
            </w:pPr>
            <w:r w:rsidRPr="00432CF9">
              <w:rPr>
                <w:lang w:val="en-GB"/>
              </w:rPr>
              <w:t>2016</w:t>
            </w:r>
          </w:p>
        </w:tc>
        <w:tc>
          <w:tcPr>
            <w:tcW w:w="6095" w:type="dxa"/>
          </w:tcPr>
          <w:p w14:paraId="5BDF70E4" w14:textId="05CFC317" w:rsidR="00AB00D1" w:rsidRPr="00432CF9" w:rsidRDefault="00AB00D1" w:rsidP="00AB00D1">
            <w:pPr>
              <w:pStyle w:val="TableCell"/>
              <w:jc w:val="left"/>
              <w:rPr>
                <w:lang w:val="en-GB"/>
              </w:rPr>
            </w:pPr>
            <w:r w:rsidRPr="00432CF9">
              <w:rPr>
                <w:lang w:val="en-GB"/>
              </w:rPr>
              <w:t>Ukraine Invest was created as an independent advisory body with a mandate to attract and support FDI</w:t>
            </w:r>
            <w:r w:rsidR="000A7ECF">
              <w:rPr>
                <w:lang w:val="en-GB"/>
              </w:rPr>
              <w:t>.</w:t>
            </w:r>
          </w:p>
        </w:tc>
      </w:tr>
      <w:tr w:rsidR="001D65D2" w:rsidRPr="00432CF9" w14:paraId="0856B838" w14:textId="77777777" w:rsidTr="00403F2B">
        <w:trPr>
          <w:cnfStyle w:val="000000010000" w:firstRow="0" w:lastRow="0" w:firstColumn="0" w:lastColumn="0" w:oddVBand="0" w:evenVBand="0" w:oddHBand="0" w:evenHBand="1" w:firstRowFirstColumn="0" w:firstRowLastColumn="0" w:lastRowFirstColumn="0" w:lastRowLastColumn="0"/>
        </w:trPr>
        <w:tc>
          <w:tcPr>
            <w:tcW w:w="993" w:type="dxa"/>
          </w:tcPr>
          <w:p w14:paraId="1F47E668" w14:textId="77777777" w:rsidR="001D65D2" w:rsidRPr="00432CF9" w:rsidRDefault="001D65D2" w:rsidP="006546A6">
            <w:pPr>
              <w:pStyle w:val="TableRow"/>
              <w:rPr>
                <w:lang w:val="en-GB"/>
              </w:rPr>
            </w:pPr>
          </w:p>
        </w:tc>
        <w:tc>
          <w:tcPr>
            <w:tcW w:w="850" w:type="dxa"/>
          </w:tcPr>
          <w:p w14:paraId="245EDF20" w14:textId="77777777" w:rsidR="001D65D2" w:rsidRPr="00432CF9" w:rsidRDefault="006546A6" w:rsidP="006546A6">
            <w:pPr>
              <w:pStyle w:val="TableCell"/>
              <w:jc w:val="left"/>
              <w:rPr>
                <w:lang w:val="en-GB"/>
              </w:rPr>
            </w:pPr>
            <w:r w:rsidRPr="00432CF9">
              <w:rPr>
                <w:lang w:val="en-GB"/>
              </w:rPr>
              <w:t>2018</w:t>
            </w:r>
          </w:p>
        </w:tc>
        <w:tc>
          <w:tcPr>
            <w:tcW w:w="6095" w:type="dxa"/>
          </w:tcPr>
          <w:p w14:paraId="66A2A311" w14:textId="2BECF155" w:rsidR="001D65D2" w:rsidRPr="00432CF9" w:rsidRDefault="006546A6" w:rsidP="008C6D4A">
            <w:pPr>
              <w:pStyle w:val="TableCell"/>
              <w:jc w:val="left"/>
              <w:rPr>
                <w:lang w:val="en-GB"/>
              </w:rPr>
            </w:pPr>
            <w:r w:rsidRPr="00432CF9">
              <w:rPr>
                <w:lang w:val="en-GB"/>
              </w:rPr>
              <w:t>Ukraine</w:t>
            </w:r>
            <w:r w:rsidR="00AB00D1" w:rsidRPr="00432CF9">
              <w:rPr>
                <w:lang w:val="en-GB"/>
              </w:rPr>
              <w:t xml:space="preserve"> </w:t>
            </w:r>
            <w:r w:rsidRPr="00432CF9">
              <w:rPr>
                <w:lang w:val="en-GB"/>
              </w:rPr>
              <w:t>Invest completed its transformation from a consultative body to the Government of Ukraine into a state institution</w:t>
            </w:r>
            <w:r w:rsidR="000A7ECF">
              <w:rPr>
                <w:lang w:val="en-GB"/>
              </w:rPr>
              <w:t>.</w:t>
            </w:r>
            <w:bookmarkStart w:id="64" w:name="_GoBack"/>
            <w:bookmarkEnd w:id="64"/>
          </w:p>
        </w:tc>
      </w:tr>
    </w:tbl>
    <w:p w14:paraId="01E5E52F" w14:textId="77777777" w:rsidR="00432CF9" w:rsidRPr="00432CF9" w:rsidRDefault="00432CF9" w:rsidP="00432CF9">
      <w:pPr>
        <w:pStyle w:val="Sourcenotes"/>
        <w:rPr>
          <w:i/>
        </w:rPr>
      </w:pPr>
      <w:r w:rsidRPr="00432CF9">
        <w:rPr>
          <w:i/>
        </w:rPr>
        <w:t>Source</w:t>
      </w:r>
      <w:r>
        <w:rPr>
          <w:i/>
        </w:rPr>
        <w:t>:</w:t>
      </w:r>
      <w:r w:rsidRPr="00C603B8">
        <w:t xml:space="preserve"> OECD-IDB (2019); UNCTAD (2019)</w:t>
      </w:r>
      <w:r w:rsidR="00C603B8">
        <w:t>.</w:t>
      </w:r>
    </w:p>
    <w:p w14:paraId="6B95EF53" w14:textId="26BF5323" w:rsidR="00AA0E22" w:rsidRDefault="00937D07" w:rsidP="00AA0E22">
      <w:pPr>
        <w:pStyle w:val="Heading3"/>
      </w:pPr>
      <w:r>
        <w:t>IPAs in the region may have too many mandates and too few resources</w:t>
      </w:r>
    </w:p>
    <w:p w14:paraId="720B2648" w14:textId="77777777" w:rsidR="00562AF1" w:rsidRPr="00EC1F05" w:rsidRDefault="00562AF1" w:rsidP="00EC1F05">
      <w:pPr>
        <w:pStyle w:val="Para0"/>
      </w:pPr>
      <w:r w:rsidRPr="00EC1F05">
        <w:t xml:space="preserve">IPAs can be either fully dedicated to investment promotion and facilitation – and exclusively focus on the four core functions mentioned above – or be part of a broader agency that includes additional mandates, such as the promotion of exports, innovation, regional development, outward investment and domestic investment, among others. In practice, most IPAs around the world have multiple mandates and conduct activities that go beyond inward foreign investment promotion. In OECD economies, the most frequent </w:t>
      </w:r>
      <w:r w:rsidRPr="00EC1F05">
        <w:lastRenderedPageBreak/>
        <w:t xml:space="preserve">combination of mandates in IPAs are with export promotion and with innovation promotion (OECD, 2018a). </w:t>
      </w:r>
    </w:p>
    <w:p w14:paraId="30C894EA" w14:textId="551D5391" w:rsidR="00562AF1" w:rsidRDefault="009C78A6" w:rsidP="00EC1F05">
      <w:pPr>
        <w:pStyle w:val="Para0"/>
      </w:pPr>
      <w:r w:rsidRPr="00EC1F05">
        <w:t>Despite considerable variety</w:t>
      </w:r>
      <w:r w:rsidR="00562AF1" w:rsidRPr="00EC1F05">
        <w:t xml:space="preserve"> across agencies, IPAs in OECD countries </w:t>
      </w:r>
      <w:r w:rsidR="006F5668" w:rsidRPr="00EC1F05">
        <w:t xml:space="preserve">are </w:t>
      </w:r>
      <w:r w:rsidR="00EC1F05">
        <w:t xml:space="preserve">relatively </w:t>
      </w:r>
      <w:r w:rsidR="006F5668" w:rsidRPr="00EC1F05">
        <w:t xml:space="preserve">more </w:t>
      </w:r>
      <w:r w:rsidR="003B1796" w:rsidRPr="00EC1F05">
        <w:t>focussed,</w:t>
      </w:r>
      <w:r w:rsidR="006F5668" w:rsidRPr="00EC1F05">
        <w:t xml:space="preserve"> </w:t>
      </w:r>
      <w:r w:rsidR="00562AF1" w:rsidRPr="00EC1F05">
        <w:t xml:space="preserve">with an average of 5.7 different mandates under the agency’s responsibility, </w:t>
      </w:r>
      <w:r w:rsidR="003B1796" w:rsidRPr="00EC1F05">
        <w:t>whereas</w:t>
      </w:r>
      <w:r w:rsidR="00562AF1" w:rsidRPr="00EC1F05">
        <w:t xml:space="preserve"> </w:t>
      </w:r>
      <w:r w:rsidR="006F5668" w:rsidRPr="00EC1F05">
        <w:t>IPAs</w:t>
      </w:r>
      <w:r w:rsidR="00562AF1" w:rsidRPr="00EC1F05">
        <w:t xml:space="preserve"> in </w:t>
      </w:r>
      <w:r w:rsidR="00B264C1" w:rsidRPr="00EC1F05">
        <w:t xml:space="preserve">the Southern Mediterranean </w:t>
      </w:r>
      <w:r w:rsidR="006F5668" w:rsidRPr="00EC1F05">
        <w:t xml:space="preserve">have broader </w:t>
      </w:r>
      <w:r w:rsidR="003B1796" w:rsidRPr="00EC1F05">
        <w:t>mission</w:t>
      </w:r>
      <w:r w:rsidR="00EC1F05">
        <w:t>s</w:t>
      </w:r>
      <w:r w:rsidR="005D699D" w:rsidRPr="00EC1F05">
        <w:t xml:space="preserve">, spanning on average 8.6 </w:t>
      </w:r>
      <w:r w:rsidR="003B1796" w:rsidRPr="00EC1F05">
        <w:t xml:space="preserve">official </w:t>
      </w:r>
      <w:r w:rsidR="006F5668" w:rsidRPr="00EC1F05">
        <w:t>mandates</w:t>
      </w:r>
      <w:r w:rsidR="00562AF1" w:rsidRPr="00EC1F05">
        <w:t xml:space="preserve"> </w:t>
      </w:r>
      <w:r w:rsidR="0032749E">
        <w:t>(Figure 3.2</w:t>
      </w:r>
      <w:r w:rsidR="002C4CE3" w:rsidRPr="00EC1F05">
        <w:t>).</w:t>
      </w:r>
      <w:r w:rsidR="000D7FC1" w:rsidRPr="00EC1F05">
        <w:t xml:space="preserve"> </w:t>
      </w:r>
      <w:r w:rsidR="00DB49AD">
        <w:t>Among EaP countries</w:t>
      </w:r>
      <w:r w:rsidR="003B1796" w:rsidRPr="00EC1F05">
        <w:t>, the</w:t>
      </w:r>
      <w:r w:rsidR="005D699D" w:rsidRPr="00EC1F05">
        <w:t xml:space="preserve"> IPAs of Georgia a</w:t>
      </w:r>
      <w:r w:rsidR="0017584B" w:rsidRPr="00EC1F05">
        <w:t xml:space="preserve">nd Ukraine are </w:t>
      </w:r>
      <w:r w:rsidR="003B1796" w:rsidRPr="00EC1F05">
        <w:t xml:space="preserve">relatively </w:t>
      </w:r>
      <w:r w:rsidR="0017584B" w:rsidRPr="00EC1F05">
        <w:t xml:space="preserve">more specialised with five mandates each, the former </w:t>
      </w:r>
      <w:r w:rsidR="005D699D" w:rsidRPr="00EC1F05">
        <w:t xml:space="preserve">focusing on </w:t>
      </w:r>
      <w:r w:rsidR="0017584B" w:rsidRPr="00EC1F05">
        <w:t>local development</w:t>
      </w:r>
      <w:r w:rsidR="009C685C" w:rsidRPr="00EC1F05">
        <w:t xml:space="preserve"> and export promotion</w:t>
      </w:r>
      <w:r w:rsidR="0017584B" w:rsidRPr="00EC1F05">
        <w:t xml:space="preserve">, and the latter </w:t>
      </w:r>
      <w:r w:rsidR="009C685C" w:rsidRPr="00EC1F05">
        <w:t>on innovation promotion and business facilitation</w:t>
      </w:r>
      <w:r w:rsidR="0017584B" w:rsidRPr="00EC1F05">
        <w:t>.</w:t>
      </w:r>
      <w:r w:rsidR="00767D16" w:rsidRPr="00EC1F05">
        <w:t xml:space="preserve"> </w:t>
      </w:r>
      <w:r w:rsidR="0017584B" w:rsidRPr="00EC1F05">
        <w:t>The IPAs of Azerbaijan and Belarus</w:t>
      </w:r>
      <w:r w:rsidR="003B1796" w:rsidRPr="00EC1F05">
        <w:t>, on the other hand,</w:t>
      </w:r>
      <w:r w:rsidR="0017584B" w:rsidRPr="00EC1F05">
        <w:t xml:space="preserve"> </w:t>
      </w:r>
      <w:r w:rsidR="003B1796" w:rsidRPr="00EC1F05">
        <w:t>have a more generalist role each with seven mandates</w:t>
      </w:r>
      <w:r w:rsidR="0017584B" w:rsidRPr="00EC1F05">
        <w:t>, the former encompassing export and innovation promotion as well as trade facilitation and negotiation of international agreements, and the latter covering the operation of one-stop shop, privatisation and management of public concessions and public-private partnerships (</w:t>
      </w:r>
      <w:r w:rsidR="0032749E">
        <w:t>Table 3.2</w:t>
      </w:r>
      <w:r w:rsidR="0017584B" w:rsidRPr="00EC1F05">
        <w:t>).</w:t>
      </w:r>
    </w:p>
    <w:p w14:paraId="1A05991F" w14:textId="79A5DDBC" w:rsidR="00453AA7" w:rsidRDefault="00B264C1" w:rsidP="00B264C1">
      <w:pPr>
        <w:pStyle w:val="Para0"/>
      </w:pPr>
      <w:r>
        <w:t xml:space="preserve">The combination of </w:t>
      </w:r>
      <w:r w:rsidR="000D62EF">
        <w:t xml:space="preserve">export </w:t>
      </w:r>
      <w:r>
        <w:t>and investment promotion into a single agency</w:t>
      </w:r>
      <w:r w:rsidR="003B1796">
        <w:t>, as is the case in Azerbaijan and Georgia,</w:t>
      </w:r>
      <w:r>
        <w:t xml:space="preserve"> can be motivated by the need to maximise synergies and the opportunity for economies of scale by grouping qualified foreign trade and foreign investment promotion staff under one roof. This is particularly true for governments </w:t>
      </w:r>
      <w:r w:rsidR="0032749E">
        <w:t>of smaller countries seeking</w:t>
      </w:r>
      <w:r>
        <w:t xml:space="preserve"> to attract export-oriented investors, as similar industries and markets can be targeted. Governments that choose to keep separate agencies</w:t>
      </w:r>
      <w:r w:rsidR="003B1796">
        <w:t>, like Ukraine and Belarus,</w:t>
      </w:r>
      <w:r>
        <w:t xml:space="preserve"> </w:t>
      </w:r>
      <w:r w:rsidR="007915CF">
        <w:t xml:space="preserve">may </w:t>
      </w:r>
      <w:r>
        <w:t>deem that the different skillsets and activities necessary to respond to the needs of their respective clients – foreign investors for IPAs and domestic companies for export promotion organisations – are too different to justify an institutional merger.</w:t>
      </w:r>
    </w:p>
    <w:p w14:paraId="63CFF202" w14:textId="39397E89" w:rsidR="00E9374F" w:rsidRDefault="003B4026" w:rsidP="003B4026">
      <w:pPr>
        <w:pStyle w:val="Para0"/>
      </w:pPr>
      <w:r>
        <w:t>Merging investment and innovation promotion within the same agency</w:t>
      </w:r>
      <w:r w:rsidR="00BF230C">
        <w:t>, as seen in Azerbaijan and Ukraine,</w:t>
      </w:r>
      <w:r>
        <w:t xml:space="preserve"> can be a </w:t>
      </w:r>
      <w:r w:rsidR="0032749E">
        <w:t>shrewd</w:t>
      </w:r>
      <w:r>
        <w:t xml:space="preserve"> choice when IPAs se</w:t>
      </w:r>
      <w:r w:rsidR="007915CF">
        <w:t>ek to attract high-tech and R&amp;D-</w:t>
      </w:r>
      <w:r>
        <w:t>driven MNEs that can invest in high value-added activities. Location determinants in high-technology industries include the availability of an innovation network, such as high-quality scientific infrastructure, skilled labour, technology clusters and public knowledge centres (OECD, 2011</w:t>
      </w:r>
      <w:r w:rsidR="0075638D">
        <w:t>c</w:t>
      </w:r>
      <w:r>
        <w:t>). In this context, merging FDI and innovation promotion can allow for synergies to attract innovation-oriented MNEs. In some cases</w:t>
      </w:r>
      <w:r w:rsidR="00BF230C">
        <w:t xml:space="preserve"> in the OECD</w:t>
      </w:r>
      <w:r>
        <w:t>, the agency in charge of innovation was established beforehand and created a specific investment promotion unit (e.g. Innovation Norway).</w:t>
      </w:r>
    </w:p>
    <w:p w14:paraId="3B8415F6" w14:textId="3C976C83" w:rsidR="00453AA7" w:rsidRDefault="00B25083" w:rsidP="00453AA7">
      <w:pPr>
        <w:pStyle w:val="Para0"/>
      </w:pPr>
      <w:r>
        <w:t>I</w:t>
      </w:r>
      <w:r w:rsidR="00453AA7">
        <w:t xml:space="preserve">t is not a common practice in </w:t>
      </w:r>
      <w:r w:rsidR="007915CF">
        <w:t xml:space="preserve">OECD </w:t>
      </w:r>
      <w:r w:rsidR="00453AA7">
        <w:t xml:space="preserve">IPAs to combine regulation and promotion of investment under the same roof, however, and there might be a </w:t>
      </w:r>
      <w:r w:rsidR="00BF230C">
        <w:t>disadvantage in</w:t>
      </w:r>
      <w:r w:rsidR="00453AA7">
        <w:t xml:space="preserve"> mixing the two</w:t>
      </w:r>
      <w:r w:rsidR="00BF230C">
        <w:t>, as is the case in Belarus and to a lesser extent Azerbaijan</w:t>
      </w:r>
      <w:r w:rsidR="00453AA7" w:rsidRPr="008A3404">
        <w:t xml:space="preserve">. Some studies show that those IPAs focusing exclusively on investment promotion achieve significantly higher results in attracting investors than those which carry out both </w:t>
      </w:r>
      <w:r w:rsidR="00562AF1">
        <w:t xml:space="preserve">regulatory or </w:t>
      </w:r>
      <w:r w:rsidR="00453AA7" w:rsidRPr="008A3404">
        <w:t>administrative and promotio</w:t>
      </w:r>
      <w:r w:rsidR="0075638D">
        <w:t>nal activities (World Bank, 2012</w:t>
      </w:r>
      <w:r w:rsidR="00453AA7" w:rsidRPr="008A3404">
        <w:t xml:space="preserve">). </w:t>
      </w:r>
      <w:r w:rsidR="00453AA7">
        <w:t xml:space="preserve">The reason behind this finding is that attracting FDI and </w:t>
      </w:r>
      <w:r w:rsidR="00BF230C">
        <w:t>negotiating treaties</w:t>
      </w:r>
      <w:r w:rsidR="007249F1">
        <w:t>, or managing public concessions,</w:t>
      </w:r>
      <w:r w:rsidR="00453AA7">
        <w:t xml:space="preserve"> are </w:t>
      </w:r>
      <w:r w:rsidR="007249F1">
        <w:t xml:space="preserve">very </w:t>
      </w:r>
      <w:r w:rsidR="00453AA7">
        <w:t>different functions with different objectives and that require different skillsets. The IPA is often expected to represent private investors’ interests within government and it will be less credible to do so and to influence policymaking if it is the s</w:t>
      </w:r>
      <w:r w:rsidR="00BF230C">
        <w:t>ame agency that regulates them.</w:t>
      </w:r>
    </w:p>
    <w:p w14:paraId="554B5309" w14:textId="5A49ACB5" w:rsidR="008C210C" w:rsidRPr="00017ABD" w:rsidRDefault="008C210C" w:rsidP="00017ABD">
      <w:pPr>
        <w:pStyle w:val="Para0"/>
      </w:pPr>
      <w:r w:rsidRPr="00017ABD">
        <w:t xml:space="preserve">A long-term alternative for Belarus, for instance, might be </w:t>
      </w:r>
      <w:r w:rsidR="00F94A4F">
        <w:t xml:space="preserve">reassign the policy mandates (i.e. </w:t>
      </w:r>
      <w:r w:rsidR="00F94A4F" w:rsidRPr="00017ABD">
        <w:t>negotiating treaties, regulating investment and managing privatisations and public concessions</w:t>
      </w:r>
      <w:r w:rsidR="00F94A4F">
        <w:t xml:space="preserve">) to </w:t>
      </w:r>
      <w:r w:rsidRPr="00017ABD">
        <w:t xml:space="preserve">the Ministry of Economy and </w:t>
      </w:r>
      <w:r w:rsidR="00F94A4F">
        <w:t xml:space="preserve">allowing NAIP to focus its resources on </w:t>
      </w:r>
      <w:r w:rsidRPr="00017ABD">
        <w:t xml:space="preserve">investment promotion and facilitation. If this option is considered, the promotion part of NAIP could increasingly take more autonomy from the Ministry of Economy. In most countries, especially in the OECD area, the ministry in charge of investment is responsible for investment policymaking and, if appropriate, other regulatory aspects such as reviewing </w:t>
      </w:r>
      <w:r w:rsidRPr="00017ABD">
        <w:lastRenderedPageBreak/>
        <w:t>investment proposals and monitoring companies’ projects. Meanwhile, the IPA is more autonomous from the ministry, sometimes with private sector participation, seeking to find a balance between following the government’s strategic orientations and representing the views of investors. This consideration directly relates to legal status and governance policy, examined below.</w:t>
      </w:r>
    </w:p>
    <w:p w14:paraId="45BD63D9" w14:textId="192D07E1" w:rsidR="00DB7DB3" w:rsidRDefault="00DB7DB3" w:rsidP="00135DF1">
      <w:pPr>
        <w:pStyle w:val="Caption"/>
      </w:pPr>
      <w:bookmarkStart w:id="65" w:name="_Toc31983249"/>
      <w:bookmarkStart w:id="66" w:name="_Toc33443333"/>
      <w:r>
        <w:t xml:space="preserve">Figure </w:t>
      </w:r>
      <w:fldSimple w:instr=" STYLEREF 1 \s ">
        <w:r w:rsidR="004B1200">
          <w:rPr>
            <w:noProof/>
          </w:rPr>
          <w:t>3</w:t>
        </w:r>
      </w:fldSimple>
      <w:r>
        <w:t>.</w:t>
      </w:r>
      <w:r>
        <w:rPr>
          <w:noProof/>
        </w:rPr>
        <w:fldChar w:fldCharType="begin"/>
      </w:r>
      <w:r>
        <w:rPr>
          <w:noProof/>
        </w:rPr>
        <w:instrText xml:space="preserve"> SEQ Figure \* ARABIC \s 1 </w:instrText>
      </w:r>
      <w:r>
        <w:rPr>
          <w:noProof/>
        </w:rPr>
        <w:fldChar w:fldCharType="separate"/>
      </w:r>
      <w:r w:rsidR="004B1200">
        <w:rPr>
          <w:noProof/>
        </w:rPr>
        <w:t>2</w:t>
      </w:r>
      <w:r>
        <w:rPr>
          <w:noProof/>
        </w:rPr>
        <w:fldChar w:fldCharType="end"/>
      </w:r>
      <w:r w:rsidR="006C63AC">
        <w:t>.Number of official mandates</w:t>
      </w:r>
      <w:r w:rsidR="005C1804">
        <w:t xml:space="preserve"> </w:t>
      </w:r>
      <w:bookmarkEnd w:id="65"/>
      <w:bookmarkEnd w:id="66"/>
    </w:p>
    <w:p w14:paraId="0DAC6509" w14:textId="3BBF7C18" w:rsidR="00DB7DB3" w:rsidRPr="005C1804" w:rsidRDefault="001F4DBF" w:rsidP="00135DF1">
      <w:pPr>
        <w:pStyle w:val="Figure"/>
      </w:pPr>
      <w:r w:rsidRPr="001F4DBF">
        <w:rPr>
          <w:noProof/>
          <w:lang w:eastAsia="en-GB"/>
        </w:rPr>
        <w:drawing>
          <wp:inline distT="0" distB="0" distL="0" distR="0" wp14:anchorId="6ACFD316" wp14:editId="0DEA82EB">
            <wp:extent cx="3714615" cy="208759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23081" cy="2092350"/>
                    </a:xfrm>
                    <a:prstGeom prst="rect">
                      <a:avLst/>
                    </a:prstGeom>
                    <a:noFill/>
                    <a:ln>
                      <a:noFill/>
                    </a:ln>
                  </pic:spPr>
                </pic:pic>
              </a:graphicData>
            </a:graphic>
          </wp:inline>
        </w:drawing>
      </w:r>
    </w:p>
    <w:p w14:paraId="29ACBEA5" w14:textId="77777777" w:rsidR="00B92B1F" w:rsidRDefault="00B92B1F" w:rsidP="00135DF1">
      <w:pPr>
        <w:pStyle w:val="Sourcenotes"/>
        <w:rPr>
          <w:i/>
        </w:rPr>
      </w:pPr>
      <w:r>
        <w:rPr>
          <w:i/>
        </w:rPr>
        <w:t>Note:</w:t>
      </w:r>
      <w:r>
        <w:t xml:space="preserve"> CA = Central Asia; MED = Southern Mediterranean; LAC = Latin America and the Caribbean.</w:t>
      </w:r>
    </w:p>
    <w:p w14:paraId="631A9881" w14:textId="77777777" w:rsidR="00DB7DB3" w:rsidRPr="00454399" w:rsidRDefault="00DB7DB3" w:rsidP="00135DF1">
      <w:pPr>
        <w:pStyle w:val="Sourcenotes"/>
      </w:pPr>
      <w:r w:rsidRPr="00454399">
        <w:rPr>
          <w:i/>
        </w:rPr>
        <w:t>Source</w:t>
      </w:r>
      <w:r>
        <w:t xml:space="preserve">: </w:t>
      </w:r>
      <w:r w:rsidR="00157454">
        <w:t>OECD-IDB survey of Investment Promotion Agencies (2019)</w:t>
      </w:r>
      <w:r w:rsidR="00C603B8">
        <w:t>.</w:t>
      </w:r>
    </w:p>
    <w:p w14:paraId="0E598188" w14:textId="7FFE623D" w:rsidR="00CB3CC6" w:rsidRDefault="00CB3CC6" w:rsidP="00135DF1">
      <w:pPr>
        <w:pStyle w:val="Caption"/>
      </w:pPr>
      <w:bookmarkStart w:id="67" w:name="_Toc31983261"/>
      <w:bookmarkStart w:id="68" w:name="_Toc33443312"/>
      <w:r>
        <w:t xml:space="preserve">Table </w:t>
      </w:r>
      <w:fldSimple w:instr=" STYLEREF 1 \s ">
        <w:r w:rsidR="004B1200">
          <w:rPr>
            <w:noProof/>
          </w:rPr>
          <w:t>3</w:t>
        </w:r>
      </w:fldSimple>
      <w:r>
        <w:t>.</w:t>
      </w:r>
      <w:r>
        <w:rPr>
          <w:noProof/>
        </w:rPr>
        <w:fldChar w:fldCharType="begin"/>
      </w:r>
      <w:r>
        <w:rPr>
          <w:noProof/>
        </w:rPr>
        <w:instrText xml:space="preserve"> SEQ Table \* ARABIC \s 1 </w:instrText>
      </w:r>
      <w:r>
        <w:rPr>
          <w:noProof/>
        </w:rPr>
        <w:fldChar w:fldCharType="separate"/>
      </w:r>
      <w:r w:rsidR="004B1200">
        <w:rPr>
          <w:noProof/>
        </w:rPr>
        <w:t>2</w:t>
      </w:r>
      <w:r>
        <w:rPr>
          <w:noProof/>
        </w:rPr>
        <w:fldChar w:fldCharType="end"/>
      </w:r>
      <w:r>
        <w:t>. Official mandates by agency</w:t>
      </w:r>
      <w:bookmarkEnd w:id="67"/>
      <w:bookmarkEnd w:id="68"/>
    </w:p>
    <w:tbl>
      <w:tblPr>
        <w:tblStyle w:val="OECD"/>
        <w:tblW w:w="7938" w:type="dxa"/>
        <w:tblLook w:val="0420" w:firstRow="1" w:lastRow="0" w:firstColumn="0" w:lastColumn="0" w:noHBand="0" w:noVBand="1"/>
      </w:tblPr>
      <w:tblGrid>
        <w:gridCol w:w="3686"/>
        <w:gridCol w:w="964"/>
        <w:gridCol w:w="822"/>
        <w:gridCol w:w="822"/>
        <w:gridCol w:w="822"/>
        <w:gridCol w:w="822"/>
      </w:tblGrid>
      <w:tr w:rsidR="006C63AC" w:rsidRPr="00AB3F9D" w14:paraId="4A7B990C" w14:textId="77777777" w:rsidTr="006C63AC">
        <w:trPr>
          <w:cnfStyle w:val="100000000000" w:firstRow="1" w:lastRow="0" w:firstColumn="0" w:lastColumn="0" w:oddVBand="0" w:evenVBand="0" w:oddHBand="0" w:evenHBand="0" w:firstRowFirstColumn="0" w:firstRowLastColumn="0" w:lastRowFirstColumn="0" w:lastRowLastColumn="0"/>
        </w:trPr>
        <w:tc>
          <w:tcPr>
            <w:tcW w:w="3686" w:type="dxa"/>
            <w:tcBorders>
              <w:bottom w:val="single" w:sz="4" w:space="0" w:color="auto"/>
            </w:tcBorders>
            <w:vAlign w:val="bottom"/>
          </w:tcPr>
          <w:p w14:paraId="1ACAEAC4" w14:textId="77777777" w:rsidR="006C63AC" w:rsidRDefault="006C63AC" w:rsidP="006C63AC">
            <w:pPr>
              <w:pStyle w:val="TableRow"/>
            </w:pPr>
            <w:r>
              <w:t>Mandate</w:t>
            </w:r>
          </w:p>
        </w:tc>
        <w:tc>
          <w:tcPr>
            <w:tcW w:w="964" w:type="dxa"/>
            <w:tcBorders>
              <w:bottom w:val="single" w:sz="4" w:space="0" w:color="auto"/>
            </w:tcBorders>
            <w:vAlign w:val="bottom"/>
          </w:tcPr>
          <w:p w14:paraId="759D290E" w14:textId="77777777" w:rsidR="006C63AC" w:rsidRDefault="006C63AC" w:rsidP="006C63AC">
            <w:pPr>
              <w:pStyle w:val="TableColumn"/>
            </w:pPr>
            <w:r>
              <w:t>% of OECD IPAs</w:t>
            </w:r>
          </w:p>
        </w:tc>
        <w:tc>
          <w:tcPr>
            <w:tcW w:w="822" w:type="dxa"/>
            <w:tcBorders>
              <w:bottom w:val="single" w:sz="4" w:space="0" w:color="auto"/>
            </w:tcBorders>
            <w:vAlign w:val="bottom"/>
          </w:tcPr>
          <w:p w14:paraId="293D05B5" w14:textId="77777777" w:rsidR="006C63AC" w:rsidRDefault="006C63AC" w:rsidP="006C63AC">
            <w:pPr>
              <w:pStyle w:val="TableColumn"/>
            </w:pPr>
            <w:r>
              <w:t>AZE</w:t>
            </w:r>
          </w:p>
        </w:tc>
        <w:tc>
          <w:tcPr>
            <w:tcW w:w="822" w:type="dxa"/>
            <w:tcBorders>
              <w:bottom w:val="single" w:sz="4" w:space="0" w:color="auto"/>
            </w:tcBorders>
            <w:vAlign w:val="bottom"/>
          </w:tcPr>
          <w:p w14:paraId="2510C1E7" w14:textId="77777777" w:rsidR="006C63AC" w:rsidRDefault="006C63AC" w:rsidP="006C63AC">
            <w:pPr>
              <w:pStyle w:val="TableColumn"/>
            </w:pPr>
            <w:r>
              <w:t>BLR</w:t>
            </w:r>
          </w:p>
        </w:tc>
        <w:tc>
          <w:tcPr>
            <w:tcW w:w="822" w:type="dxa"/>
            <w:tcBorders>
              <w:bottom w:val="single" w:sz="4" w:space="0" w:color="auto"/>
            </w:tcBorders>
            <w:vAlign w:val="bottom"/>
          </w:tcPr>
          <w:p w14:paraId="0EEB89E5" w14:textId="77777777" w:rsidR="006C63AC" w:rsidRDefault="006C63AC" w:rsidP="006C63AC">
            <w:pPr>
              <w:pStyle w:val="TableColumn"/>
            </w:pPr>
            <w:r>
              <w:t>GEO</w:t>
            </w:r>
          </w:p>
        </w:tc>
        <w:tc>
          <w:tcPr>
            <w:tcW w:w="822" w:type="dxa"/>
            <w:tcBorders>
              <w:bottom w:val="single" w:sz="4" w:space="0" w:color="auto"/>
            </w:tcBorders>
            <w:vAlign w:val="bottom"/>
          </w:tcPr>
          <w:p w14:paraId="7D15DAE6" w14:textId="77777777" w:rsidR="006C63AC" w:rsidRDefault="006C63AC" w:rsidP="006C63AC">
            <w:pPr>
              <w:pStyle w:val="TableColumn"/>
            </w:pPr>
            <w:r>
              <w:t>UKR</w:t>
            </w:r>
          </w:p>
        </w:tc>
      </w:tr>
      <w:tr w:rsidR="006C63AC" w:rsidRPr="00AB3F9D" w14:paraId="245484B8"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tcBorders>
              <w:top w:val="single" w:sz="4" w:space="0" w:color="auto"/>
            </w:tcBorders>
            <w:vAlign w:val="bottom"/>
          </w:tcPr>
          <w:p w14:paraId="02AB45FE" w14:textId="77777777" w:rsidR="006C63AC" w:rsidRDefault="006C63AC" w:rsidP="006C63AC">
            <w:pPr>
              <w:pStyle w:val="TableRow"/>
            </w:pPr>
            <w:r>
              <w:t>Inward foreign investment promotion</w:t>
            </w:r>
          </w:p>
        </w:tc>
        <w:tc>
          <w:tcPr>
            <w:tcW w:w="964" w:type="dxa"/>
            <w:tcBorders>
              <w:top w:val="single" w:sz="4" w:space="0" w:color="auto"/>
            </w:tcBorders>
            <w:vAlign w:val="bottom"/>
          </w:tcPr>
          <w:p w14:paraId="7FA8D293" w14:textId="77777777" w:rsidR="006C63AC" w:rsidRDefault="006C63AC" w:rsidP="006C63AC">
            <w:pPr>
              <w:pStyle w:val="TableColumn"/>
            </w:pPr>
            <w:r>
              <w:t>100%</w:t>
            </w:r>
          </w:p>
        </w:tc>
        <w:tc>
          <w:tcPr>
            <w:tcW w:w="822" w:type="dxa"/>
            <w:tcBorders>
              <w:top w:val="single" w:sz="4" w:space="0" w:color="auto"/>
            </w:tcBorders>
            <w:vAlign w:val="bottom"/>
          </w:tcPr>
          <w:p w14:paraId="0AA33F2E" w14:textId="77777777" w:rsidR="006C63AC" w:rsidRDefault="006C63AC" w:rsidP="006C63AC">
            <w:pPr>
              <w:pStyle w:val="TableColumn"/>
              <w:rPr>
                <w:rFonts w:ascii="Wingdings" w:hAnsi="Wingdings"/>
              </w:rPr>
            </w:pPr>
            <w:r>
              <w:rPr>
                <w:rFonts w:ascii="Wingdings" w:hAnsi="Wingdings"/>
              </w:rPr>
              <w:sym w:font="Wingdings" w:char="F0FC"/>
            </w:r>
          </w:p>
        </w:tc>
        <w:tc>
          <w:tcPr>
            <w:tcW w:w="822" w:type="dxa"/>
            <w:tcBorders>
              <w:top w:val="single" w:sz="4" w:space="0" w:color="auto"/>
            </w:tcBorders>
            <w:vAlign w:val="bottom"/>
          </w:tcPr>
          <w:p w14:paraId="33BB6FCC" w14:textId="77777777" w:rsidR="006C63AC" w:rsidRDefault="006C63AC" w:rsidP="006C63AC">
            <w:pPr>
              <w:pStyle w:val="TableColumn"/>
              <w:rPr>
                <w:rFonts w:ascii="Wingdings" w:hAnsi="Wingdings"/>
              </w:rPr>
            </w:pPr>
            <w:r>
              <w:rPr>
                <w:rFonts w:ascii="Wingdings" w:hAnsi="Wingdings"/>
              </w:rPr>
              <w:sym w:font="Wingdings" w:char="F0FC"/>
            </w:r>
          </w:p>
        </w:tc>
        <w:tc>
          <w:tcPr>
            <w:tcW w:w="822" w:type="dxa"/>
            <w:tcBorders>
              <w:top w:val="single" w:sz="4" w:space="0" w:color="auto"/>
            </w:tcBorders>
            <w:vAlign w:val="bottom"/>
          </w:tcPr>
          <w:p w14:paraId="38BCC5C5" w14:textId="77777777" w:rsidR="006C63AC" w:rsidRDefault="006C63AC" w:rsidP="006C63AC">
            <w:pPr>
              <w:pStyle w:val="TableColumn"/>
              <w:rPr>
                <w:rFonts w:ascii="Wingdings" w:hAnsi="Wingdings"/>
              </w:rPr>
            </w:pPr>
            <w:r>
              <w:rPr>
                <w:rFonts w:ascii="Wingdings" w:hAnsi="Wingdings"/>
              </w:rPr>
              <w:sym w:font="Wingdings" w:char="F0FC"/>
            </w:r>
          </w:p>
        </w:tc>
        <w:tc>
          <w:tcPr>
            <w:tcW w:w="822" w:type="dxa"/>
            <w:tcBorders>
              <w:top w:val="single" w:sz="4" w:space="0" w:color="auto"/>
            </w:tcBorders>
            <w:vAlign w:val="bottom"/>
          </w:tcPr>
          <w:p w14:paraId="3CFBD62E" w14:textId="77777777" w:rsidR="006C63AC" w:rsidRDefault="006C63AC" w:rsidP="006C63AC">
            <w:pPr>
              <w:pStyle w:val="TableColumn"/>
              <w:rPr>
                <w:rFonts w:ascii="Wingdings" w:hAnsi="Wingdings"/>
              </w:rPr>
            </w:pPr>
            <w:r>
              <w:rPr>
                <w:rFonts w:ascii="Wingdings" w:hAnsi="Wingdings"/>
              </w:rPr>
              <w:sym w:font="Wingdings" w:char="F0FC"/>
            </w:r>
          </w:p>
        </w:tc>
      </w:tr>
      <w:tr w:rsidR="006C63AC" w:rsidRPr="00AB3F9D" w14:paraId="387A8897"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597450CC" w14:textId="77777777" w:rsidR="006C63AC" w:rsidRDefault="006C63AC" w:rsidP="006C63AC">
            <w:pPr>
              <w:pStyle w:val="TableRow"/>
            </w:pPr>
            <w:r>
              <w:t>Innovation promotion</w:t>
            </w:r>
          </w:p>
        </w:tc>
        <w:tc>
          <w:tcPr>
            <w:tcW w:w="964" w:type="dxa"/>
            <w:vAlign w:val="bottom"/>
          </w:tcPr>
          <w:p w14:paraId="5E4C86A9" w14:textId="77777777" w:rsidR="006C63AC" w:rsidRDefault="006C63AC" w:rsidP="006C63AC">
            <w:pPr>
              <w:pStyle w:val="TableColumn"/>
            </w:pPr>
            <w:r>
              <w:t>56%</w:t>
            </w:r>
          </w:p>
        </w:tc>
        <w:tc>
          <w:tcPr>
            <w:tcW w:w="822" w:type="dxa"/>
            <w:vAlign w:val="bottom"/>
          </w:tcPr>
          <w:p w14:paraId="38D6F875"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2A066C09" w14:textId="77777777" w:rsidR="006C63AC" w:rsidRDefault="006C63AC" w:rsidP="006C63AC">
            <w:pPr>
              <w:pStyle w:val="TableColumn"/>
              <w:rPr>
                <w:rFonts w:ascii="Wingdings" w:hAnsi="Wingdings"/>
              </w:rPr>
            </w:pPr>
          </w:p>
        </w:tc>
        <w:tc>
          <w:tcPr>
            <w:tcW w:w="822" w:type="dxa"/>
            <w:vAlign w:val="bottom"/>
          </w:tcPr>
          <w:p w14:paraId="536B4C57" w14:textId="77777777" w:rsidR="006C63AC" w:rsidRDefault="006C63AC" w:rsidP="006C63AC">
            <w:pPr>
              <w:pStyle w:val="TableColumn"/>
            </w:pPr>
          </w:p>
        </w:tc>
        <w:tc>
          <w:tcPr>
            <w:tcW w:w="822" w:type="dxa"/>
            <w:vAlign w:val="bottom"/>
          </w:tcPr>
          <w:p w14:paraId="565C92DA" w14:textId="77777777" w:rsidR="006C63AC" w:rsidRDefault="006C63AC" w:rsidP="006C63AC">
            <w:pPr>
              <w:pStyle w:val="TableColumn"/>
              <w:rPr>
                <w:rFonts w:ascii="Wingdings" w:hAnsi="Wingdings"/>
              </w:rPr>
            </w:pPr>
            <w:r>
              <w:rPr>
                <w:rFonts w:ascii="Wingdings" w:hAnsi="Wingdings"/>
              </w:rPr>
              <w:sym w:font="Wingdings" w:char="F0FC"/>
            </w:r>
          </w:p>
        </w:tc>
      </w:tr>
      <w:tr w:rsidR="006C63AC" w:rsidRPr="00AB3F9D" w14:paraId="4ACE9531"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4FD6E910" w14:textId="77777777" w:rsidR="006C63AC" w:rsidRDefault="006C63AC" w:rsidP="006C63AC">
            <w:pPr>
              <w:pStyle w:val="TableRow"/>
            </w:pPr>
            <w:r>
              <w:t>Export promotion</w:t>
            </w:r>
          </w:p>
        </w:tc>
        <w:tc>
          <w:tcPr>
            <w:tcW w:w="964" w:type="dxa"/>
            <w:vAlign w:val="bottom"/>
          </w:tcPr>
          <w:p w14:paraId="02B7ED59" w14:textId="77777777" w:rsidR="006C63AC" w:rsidRDefault="006C63AC" w:rsidP="006C63AC">
            <w:pPr>
              <w:pStyle w:val="TableColumn"/>
            </w:pPr>
            <w:r>
              <w:t>56%</w:t>
            </w:r>
          </w:p>
        </w:tc>
        <w:tc>
          <w:tcPr>
            <w:tcW w:w="822" w:type="dxa"/>
            <w:vAlign w:val="bottom"/>
          </w:tcPr>
          <w:p w14:paraId="65191D56"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0F875A51" w14:textId="77777777" w:rsidR="006C63AC" w:rsidRDefault="006C63AC" w:rsidP="006C63AC">
            <w:pPr>
              <w:pStyle w:val="TableColumn"/>
              <w:rPr>
                <w:rFonts w:ascii="Wingdings" w:hAnsi="Wingdings"/>
              </w:rPr>
            </w:pPr>
          </w:p>
        </w:tc>
        <w:tc>
          <w:tcPr>
            <w:tcW w:w="822" w:type="dxa"/>
            <w:vAlign w:val="bottom"/>
          </w:tcPr>
          <w:p w14:paraId="56A09962"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6A293B23" w14:textId="77777777" w:rsidR="006C63AC" w:rsidRDefault="006C63AC" w:rsidP="006C63AC">
            <w:pPr>
              <w:pStyle w:val="TableColumn"/>
              <w:rPr>
                <w:rFonts w:ascii="Wingdings" w:hAnsi="Wingdings"/>
              </w:rPr>
            </w:pPr>
          </w:p>
        </w:tc>
      </w:tr>
      <w:tr w:rsidR="006C63AC" w:rsidRPr="00AB3F9D" w14:paraId="217BE56E"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723E4CB8" w14:textId="77777777" w:rsidR="006C63AC" w:rsidRDefault="006C63AC" w:rsidP="006C63AC">
            <w:pPr>
              <w:pStyle w:val="TableRow"/>
            </w:pPr>
            <w:r>
              <w:t>Promoting regional development</w:t>
            </w:r>
          </w:p>
        </w:tc>
        <w:tc>
          <w:tcPr>
            <w:tcW w:w="964" w:type="dxa"/>
            <w:vAlign w:val="bottom"/>
          </w:tcPr>
          <w:p w14:paraId="5B121977" w14:textId="77777777" w:rsidR="006C63AC" w:rsidRDefault="006C63AC" w:rsidP="006C63AC">
            <w:pPr>
              <w:pStyle w:val="TableColumn"/>
            </w:pPr>
            <w:r>
              <w:t>50%</w:t>
            </w:r>
          </w:p>
        </w:tc>
        <w:tc>
          <w:tcPr>
            <w:tcW w:w="822" w:type="dxa"/>
            <w:vAlign w:val="bottom"/>
          </w:tcPr>
          <w:p w14:paraId="6067D65A"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0A9718A9"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6199B654"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60F4916D" w14:textId="77777777" w:rsidR="006C63AC" w:rsidRDefault="00E9374F" w:rsidP="006C63AC">
            <w:pPr>
              <w:pStyle w:val="TableColumn"/>
              <w:rPr>
                <w:rFonts w:ascii="Wingdings" w:hAnsi="Wingdings"/>
              </w:rPr>
            </w:pPr>
            <w:r>
              <w:rPr>
                <w:rFonts w:ascii="Wingdings" w:hAnsi="Wingdings"/>
              </w:rPr>
              <w:sym w:font="Wingdings" w:char="F0FC"/>
            </w:r>
          </w:p>
        </w:tc>
      </w:tr>
      <w:tr w:rsidR="006C63AC" w:rsidRPr="00AB3F9D" w14:paraId="2978E15E"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291D76D8" w14:textId="77777777" w:rsidR="006C63AC" w:rsidRDefault="006C63AC" w:rsidP="006C63AC">
            <w:pPr>
              <w:pStyle w:val="TableRow"/>
            </w:pPr>
            <w:r>
              <w:t>Domestic investment promotion</w:t>
            </w:r>
          </w:p>
        </w:tc>
        <w:tc>
          <w:tcPr>
            <w:tcW w:w="964" w:type="dxa"/>
            <w:vAlign w:val="bottom"/>
          </w:tcPr>
          <w:p w14:paraId="6A64F3B0" w14:textId="77777777" w:rsidR="006C63AC" w:rsidRDefault="006C63AC" w:rsidP="006C63AC">
            <w:pPr>
              <w:pStyle w:val="TableColumn"/>
            </w:pPr>
            <w:r>
              <w:t>41%</w:t>
            </w:r>
          </w:p>
        </w:tc>
        <w:tc>
          <w:tcPr>
            <w:tcW w:w="822" w:type="dxa"/>
            <w:vAlign w:val="bottom"/>
          </w:tcPr>
          <w:p w14:paraId="3DE5A21F" w14:textId="77777777" w:rsidR="006C63AC" w:rsidRDefault="006C63AC" w:rsidP="006C63AC">
            <w:pPr>
              <w:pStyle w:val="TableColumn"/>
            </w:pPr>
          </w:p>
        </w:tc>
        <w:tc>
          <w:tcPr>
            <w:tcW w:w="822" w:type="dxa"/>
            <w:vAlign w:val="bottom"/>
          </w:tcPr>
          <w:p w14:paraId="2D894A6B" w14:textId="77777777" w:rsidR="006C63AC" w:rsidRDefault="006C63AC" w:rsidP="006C63AC">
            <w:pPr>
              <w:pStyle w:val="TableColumn"/>
            </w:pPr>
          </w:p>
        </w:tc>
        <w:tc>
          <w:tcPr>
            <w:tcW w:w="822" w:type="dxa"/>
            <w:vAlign w:val="bottom"/>
          </w:tcPr>
          <w:p w14:paraId="06F8A578"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0BF0A1B9" w14:textId="77777777" w:rsidR="006C63AC" w:rsidRDefault="006C63AC" w:rsidP="006C63AC">
            <w:pPr>
              <w:pStyle w:val="TableColumn"/>
              <w:rPr>
                <w:rFonts w:ascii="Wingdings" w:hAnsi="Wingdings"/>
              </w:rPr>
            </w:pPr>
          </w:p>
        </w:tc>
      </w:tr>
      <w:tr w:rsidR="006C63AC" w:rsidRPr="00AB3F9D" w14:paraId="63AC5F72"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1D6A9E9B" w14:textId="77777777" w:rsidR="006C63AC" w:rsidRDefault="006C63AC" w:rsidP="006C63AC">
            <w:pPr>
              <w:pStyle w:val="TableRow"/>
            </w:pPr>
            <w:r>
              <w:t>Granting financial incentives</w:t>
            </w:r>
          </w:p>
        </w:tc>
        <w:tc>
          <w:tcPr>
            <w:tcW w:w="964" w:type="dxa"/>
            <w:vAlign w:val="bottom"/>
          </w:tcPr>
          <w:p w14:paraId="1E53506A" w14:textId="77777777" w:rsidR="006C63AC" w:rsidRDefault="006C63AC" w:rsidP="006C63AC">
            <w:pPr>
              <w:pStyle w:val="TableColumn"/>
            </w:pPr>
            <w:r>
              <w:t>31%</w:t>
            </w:r>
          </w:p>
        </w:tc>
        <w:tc>
          <w:tcPr>
            <w:tcW w:w="822" w:type="dxa"/>
            <w:vAlign w:val="bottom"/>
          </w:tcPr>
          <w:p w14:paraId="7D40BD82"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37B31D9C" w14:textId="77777777" w:rsidR="006C63AC" w:rsidRDefault="006C63AC" w:rsidP="006C63AC">
            <w:pPr>
              <w:pStyle w:val="TableColumn"/>
              <w:rPr>
                <w:rFonts w:ascii="Wingdings" w:hAnsi="Wingdings"/>
              </w:rPr>
            </w:pPr>
          </w:p>
        </w:tc>
        <w:tc>
          <w:tcPr>
            <w:tcW w:w="822" w:type="dxa"/>
            <w:vAlign w:val="bottom"/>
          </w:tcPr>
          <w:p w14:paraId="6D83CD66"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746BB930" w14:textId="77777777" w:rsidR="006C63AC" w:rsidRDefault="006C63AC" w:rsidP="006C63AC">
            <w:pPr>
              <w:pStyle w:val="TableColumn"/>
              <w:rPr>
                <w:rFonts w:ascii="Wingdings" w:hAnsi="Wingdings"/>
              </w:rPr>
            </w:pPr>
          </w:p>
        </w:tc>
      </w:tr>
      <w:tr w:rsidR="006C63AC" w:rsidRPr="00AB3F9D" w14:paraId="25F7FC45"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66D67FBD" w14:textId="77777777" w:rsidR="006C63AC" w:rsidRDefault="006C63AC" w:rsidP="006C63AC">
            <w:pPr>
              <w:pStyle w:val="TableRow"/>
            </w:pPr>
            <w:r>
              <w:t>Trade facilitation</w:t>
            </w:r>
          </w:p>
        </w:tc>
        <w:tc>
          <w:tcPr>
            <w:tcW w:w="964" w:type="dxa"/>
            <w:vAlign w:val="bottom"/>
          </w:tcPr>
          <w:p w14:paraId="4DEF6202" w14:textId="77777777" w:rsidR="006C63AC" w:rsidRDefault="006C63AC" w:rsidP="006C63AC">
            <w:pPr>
              <w:pStyle w:val="TableColumn"/>
            </w:pPr>
            <w:r>
              <w:t>25%</w:t>
            </w:r>
          </w:p>
        </w:tc>
        <w:tc>
          <w:tcPr>
            <w:tcW w:w="822" w:type="dxa"/>
            <w:vAlign w:val="bottom"/>
          </w:tcPr>
          <w:p w14:paraId="738FB33A"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6ADBA35E" w14:textId="77777777" w:rsidR="006C63AC" w:rsidRDefault="006C63AC" w:rsidP="006C63AC">
            <w:pPr>
              <w:pStyle w:val="TableColumn"/>
              <w:rPr>
                <w:rFonts w:ascii="Wingdings" w:hAnsi="Wingdings"/>
              </w:rPr>
            </w:pPr>
          </w:p>
        </w:tc>
        <w:tc>
          <w:tcPr>
            <w:tcW w:w="822" w:type="dxa"/>
            <w:vAlign w:val="bottom"/>
          </w:tcPr>
          <w:p w14:paraId="07172B30" w14:textId="77777777" w:rsidR="006C63AC" w:rsidRDefault="006C63AC" w:rsidP="006C63AC">
            <w:pPr>
              <w:pStyle w:val="TableColumn"/>
            </w:pPr>
          </w:p>
        </w:tc>
        <w:tc>
          <w:tcPr>
            <w:tcW w:w="822" w:type="dxa"/>
            <w:vAlign w:val="bottom"/>
          </w:tcPr>
          <w:p w14:paraId="1EE0826B" w14:textId="77777777" w:rsidR="006C63AC" w:rsidRDefault="006C63AC" w:rsidP="006C63AC">
            <w:pPr>
              <w:pStyle w:val="TableColumn"/>
            </w:pPr>
          </w:p>
        </w:tc>
      </w:tr>
      <w:tr w:rsidR="006C63AC" w:rsidRPr="00AB3F9D" w14:paraId="13A336A3"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35959BCA" w14:textId="77777777" w:rsidR="006C63AC" w:rsidRDefault="006C63AC" w:rsidP="006C63AC">
            <w:pPr>
              <w:pStyle w:val="TableRow"/>
            </w:pPr>
            <w:r>
              <w:t>Other (Ease of doing business facilitation)</w:t>
            </w:r>
          </w:p>
        </w:tc>
        <w:tc>
          <w:tcPr>
            <w:tcW w:w="964" w:type="dxa"/>
            <w:vAlign w:val="bottom"/>
          </w:tcPr>
          <w:p w14:paraId="47865B1D" w14:textId="77777777" w:rsidR="006C63AC" w:rsidRDefault="006C63AC" w:rsidP="006C63AC">
            <w:pPr>
              <w:pStyle w:val="TableColumn"/>
            </w:pPr>
            <w:r>
              <w:t>13%</w:t>
            </w:r>
          </w:p>
        </w:tc>
        <w:tc>
          <w:tcPr>
            <w:tcW w:w="822" w:type="dxa"/>
            <w:vAlign w:val="bottom"/>
          </w:tcPr>
          <w:p w14:paraId="0862535C" w14:textId="77777777" w:rsidR="006C63AC" w:rsidRDefault="006C63AC" w:rsidP="006C63AC">
            <w:pPr>
              <w:pStyle w:val="TableColumn"/>
            </w:pPr>
          </w:p>
        </w:tc>
        <w:tc>
          <w:tcPr>
            <w:tcW w:w="822" w:type="dxa"/>
            <w:vAlign w:val="bottom"/>
          </w:tcPr>
          <w:p w14:paraId="3F24B282" w14:textId="77777777" w:rsidR="006C63AC" w:rsidRDefault="006C63AC" w:rsidP="006C63AC">
            <w:pPr>
              <w:pStyle w:val="TableColumn"/>
            </w:pPr>
          </w:p>
        </w:tc>
        <w:tc>
          <w:tcPr>
            <w:tcW w:w="822" w:type="dxa"/>
            <w:vAlign w:val="bottom"/>
          </w:tcPr>
          <w:p w14:paraId="7DE10701" w14:textId="77777777" w:rsidR="006C63AC" w:rsidRDefault="006C63AC" w:rsidP="006C63AC">
            <w:pPr>
              <w:pStyle w:val="TableColumn"/>
            </w:pPr>
          </w:p>
        </w:tc>
        <w:tc>
          <w:tcPr>
            <w:tcW w:w="822" w:type="dxa"/>
            <w:vAlign w:val="bottom"/>
          </w:tcPr>
          <w:p w14:paraId="3CD6B324" w14:textId="77777777" w:rsidR="006C63AC" w:rsidRDefault="006C63AC" w:rsidP="006C63AC">
            <w:pPr>
              <w:pStyle w:val="TableColumn"/>
              <w:rPr>
                <w:rFonts w:ascii="Wingdings" w:hAnsi="Wingdings"/>
              </w:rPr>
            </w:pPr>
            <w:r>
              <w:rPr>
                <w:rFonts w:ascii="Wingdings" w:hAnsi="Wingdings"/>
              </w:rPr>
              <w:sym w:font="Wingdings" w:char="F0FC"/>
            </w:r>
          </w:p>
        </w:tc>
      </w:tr>
      <w:tr w:rsidR="006C63AC" w:rsidRPr="00AB3F9D" w14:paraId="278B79BE"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7773B46C" w14:textId="77777777" w:rsidR="006C63AC" w:rsidRDefault="006C63AC" w:rsidP="006C63AC">
            <w:pPr>
              <w:pStyle w:val="TableRow"/>
            </w:pPr>
            <w:r>
              <w:t>Operation of one-stop shop</w:t>
            </w:r>
          </w:p>
        </w:tc>
        <w:tc>
          <w:tcPr>
            <w:tcW w:w="964" w:type="dxa"/>
            <w:vAlign w:val="bottom"/>
          </w:tcPr>
          <w:p w14:paraId="2CDD8FB1" w14:textId="77777777" w:rsidR="006C63AC" w:rsidRDefault="006C63AC" w:rsidP="006C63AC">
            <w:pPr>
              <w:pStyle w:val="TableColumn"/>
            </w:pPr>
            <w:r>
              <w:t>13%</w:t>
            </w:r>
          </w:p>
        </w:tc>
        <w:tc>
          <w:tcPr>
            <w:tcW w:w="822" w:type="dxa"/>
            <w:vAlign w:val="bottom"/>
          </w:tcPr>
          <w:p w14:paraId="4ADE47E6" w14:textId="77777777" w:rsidR="006C63AC" w:rsidRDefault="006C63AC" w:rsidP="006C63AC">
            <w:pPr>
              <w:pStyle w:val="TableColumn"/>
            </w:pPr>
          </w:p>
        </w:tc>
        <w:tc>
          <w:tcPr>
            <w:tcW w:w="822" w:type="dxa"/>
            <w:vAlign w:val="bottom"/>
          </w:tcPr>
          <w:p w14:paraId="4C793126"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605F5C8A" w14:textId="77777777" w:rsidR="006C63AC" w:rsidRDefault="006C63AC" w:rsidP="006C63AC">
            <w:pPr>
              <w:pStyle w:val="TableColumn"/>
              <w:rPr>
                <w:rFonts w:ascii="Wingdings" w:hAnsi="Wingdings"/>
              </w:rPr>
            </w:pPr>
          </w:p>
        </w:tc>
        <w:tc>
          <w:tcPr>
            <w:tcW w:w="822" w:type="dxa"/>
            <w:vAlign w:val="bottom"/>
          </w:tcPr>
          <w:p w14:paraId="456DFCE3" w14:textId="77777777" w:rsidR="006C63AC" w:rsidRDefault="006C63AC" w:rsidP="006C63AC">
            <w:pPr>
              <w:pStyle w:val="TableColumn"/>
              <w:rPr>
                <w:rFonts w:ascii="Wingdings" w:hAnsi="Wingdings"/>
              </w:rPr>
            </w:pPr>
            <w:r>
              <w:rPr>
                <w:rFonts w:ascii="Wingdings" w:hAnsi="Wingdings"/>
              </w:rPr>
              <w:sym w:font="Wingdings" w:char="F0FC"/>
            </w:r>
          </w:p>
        </w:tc>
      </w:tr>
      <w:tr w:rsidR="006C63AC" w:rsidRPr="00AB3F9D" w14:paraId="181187DB"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2CCA295E" w14:textId="77777777" w:rsidR="006C63AC" w:rsidRDefault="006C63AC" w:rsidP="006C63AC">
            <w:pPr>
              <w:pStyle w:val="TableRow"/>
            </w:pPr>
            <w:r>
              <w:t>Management of public-private partnerships (PPPs)</w:t>
            </w:r>
          </w:p>
        </w:tc>
        <w:tc>
          <w:tcPr>
            <w:tcW w:w="964" w:type="dxa"/>
            <w:vAlign w:val="bottom"/>
          </w:tcPr>
          <w:p w14:paraId="62A1CF97" w14:textId="77777777" w:rsidR="006C63AC" w:rsidRDefault="006C63AC" w:rsidP="006C63AC">
            <w:pPr>
              <w:pStyle w:val="TableColumn"/>
            </w:pPr>
            <w:r>
              <w:t>9%</w:t>
            </w:r>
          </w:p>
        </w:tc>
        <w:tc>
          <w:tcPr>
            <w:tcW w:w="822" w:type="dxa"/>
            <w:vAlign w:val="bottom"/>
          </w:tcPr>
          <w:p w14:paraId="74A5C8E4" w14:textId="77777777" w:rsidR="006C63AC" w:rsidRDefault="006C63AC" w:rsidP="006C63AC">
            <w:pPr>
              <w:pStyle w:val="TableColumn"/>
            </w:pPr>
          </w:p>
        </w:tc>
        <w:tc>
          <w:tcPr>
            <w:tcW w:w="822" w:type="dxa"/>
            <w:vAlign w:val="bottom"/>
          </w:tcPr>
          <w:p w14:paraId="1718C865"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2CCC7E05" w14:textId="77777777" w:rsidR="006C63AC" w:rsidRDefault="006C63AC" w:rsidP="006C63AC">
            <w:pPr>
              <w:pStyle w:val="TableColumn"/>
              <w:rPr>
                <w:rFonts w:ascii="Wingdings" w:hAnsi="Wingdings"/>
              </w:rPr>
            </w:pPr>
          </w:p>
        </w:tc>
        <w:tc>
          <w:tcPr>
            <w:tcW w:w="822" w:type="dxa"/>
            <w:vAlign w:val="bottom"/>
          </w:tcPr>
          <w:p w14:paraId="3C0B498D" w14:textId="77777777" w:rsidR="006C63AC" w:rsidRDefault="006C63AC" w:rsidP="006C63AC">
            <w:pPr>
              <w:pStyle w:val="TableColumn"/>
            </w:pPr>
          </w:p>
        </w:tc>
      </w:tr>
      <w:tr w:rsidR="006C63AC" w:rsidRPr="00AB3F9D" w14:paraId="56E3B63D"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7395AA08" w14:textId="77777777" w:rsidR="006C63AC" w:rsidRDefault="006C63AC" w:rsidP="006C63AC">
            <w:pPr>
              <w:pStyle w:val="TableRow"/>
            </w:pPr>
            <w:r>
              <w:t>Negotiation of international agreements</w:t>
            </w:r>
          </w:p>
        </w:tc>
        <w:tc>
          <w:tcPr>
            <w:tcW w:w="964" w:type="dxa"/>
            <w:vAlign w:val="bottom"/>
          </w:tcPr>
          <w:p w14:paraId="4FA8EE11" w14:textId="77777777" w:rsidR="006C63AC" w:rsidRDefault="006C63AC" w:rsidP="006C63AC">
            <w:pPr>
              <w:pStyle w:val="TableColumn"/>
            </w:pPr>
            <w:r>
              <w:t>9%</w:t>
            </w:r>
          </w:p>
        </w:tc>
        <w:tc>
          <w:tcPr>
            <w:tcW w:w="822" w:type="dxa"/>
            <w:vAlign w:val="bottom"/>
          </w:tcPr>
          <w:p w14:paraId="1EC1D114" w14:textId="77777777" w:rsidR="006C63AC" w:rsidRDefault="0084675C" w:rsidP="006C63AC">
            <w:pPr>
              <w:pStyle w:val="TableColumn"/>
            </w:pPr>
            <w:r>
              <w:rPr>
                <w:rFonts w:ascii="Wingdings" w:hAnsi="Wingdings"/>
              </w:rPr>
              <w:sym w:font="Wingdings" w:char="F0FC"/>
            </w:r>
          </w:p>
        </w:tc>
        <w:tc>
          <w:tcPr>
            <w:tcW w:w="822" w:type="dxa"/>
            <w:vAlign w:val="bottom"/>
          </w:tcPr>
          <w:p w14:paraId="0C7EAA03"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724CDBFA" w14:textId="77777777" w:rsidR="006C63AC" w:rsidRDefault="006C63AC" w:rsidP="006C63AC">
            <w:pPr>
              <w:pStyle w:val="TableColumn"/>
              <w:rPr>
                <w:rFonts w:ascii="Wingdings" w:hAnsi="Wingdings"/>
              </w:rPr>
            </w:pPr>
          </w:p>
        </w:tc>
        <w:tc>
          <w:tcPr>
            <w:tcW w:w="822" w:type="dxa"/>
            <w:vAlign w:val="bottom"/>
          </w:tcPr>
          <w:p w14:paraId="099FEA14" w14:textId="77777777" w:rsidR="006C63AC" w:rsidRDefault="006C63AC" w:rsidP="006C63AC">
            <w:pPr>
              <w:pStyle w:val="TableColumn"/>
            </w:pPr>
          </w:p>
        </w:tc>
      </w:tr>
      <w:tr w:rsidR="006C63AC" w:rsidRPr="00AB3F9D" w14:paraId="7041DCB1" w14:textId="77777777" w:rsidTr="006C63AC">
        <w:trPr>
          <w:cnfStyle w:val="000000010000" w:firstRow="0" w:lastRow="0" w:firstColumn="0" w:lastColumn="0" w:oddVBand="0" w:evenVBand="0" w:oddHBand="0" w:evenHBand="1" w:firstRowFirstColumn="0" w:firstRowLastColumn="0" w:lastRowFirstColumn="0" w:lastRowLastColumn="0"/>
        </w:trPr>
        <w:tc>
          <w:tcPr>
            <w:tcW w:w="3686" w:type="dxa"/>
            <w:vAlign w:val="bottom"/>
          </w:tcPr>
          <w:p w14:paraId="78D32C1B" w14:textId="77777777" w:rsidR="006C63AC" w:rsidRDefault="006C63AC" w:rsidP="006C63AC">
            <w:pPr>
              <w:pStyle w:val="TableRow"/>
            </w:pPr>
            <w:r>
              <w:t>Negotiation and administration of public concessions</w:t>
            </w:r>
          </w:p>
        </w:tc>
        <w:tc>
          <w:tcPr>
            <w:tcW w:w="964" w:type="dxa"/>
            <w:vAlign w:val="bottom"/>
          </w:tcPr>
          <w:p w14:paraId="585001DE" w14:textId="77777777" w:rsidR="006C63AC" w:rsidRDefault="006C63AC" w:rsidP="006C63AC">
            <w:pPr>
              <w:pStyle w:val="TableColumn"/>
            </w:pPr>
            <w:r>
              <w:t>3%</w:t>
            </w:r>
          </w:p>
        </w:tc>
        <w:tc>
          <w:tcPr>
            <w:tcW w:w="822" w:type="dxa"/>
            <w:vAlign w:val="bottom"/>
          </w:tcPr>
          <w:p w14:paraId="10647772" w14:textId="77777777" w:rsidR="006C63AC" w:rsidRDefault="006C63AC" w:rsidP="006C63AC">
            <w:pPr>
              <w:pStyle w:val="TableColumn"/>
            </w:pPr>
          </w:p>
        </w:tc>
        <w:tc>
          <w:tcPr>
            <w:tcW w:w="822" w:type="dxa"/>
            <w:vAlign w:val="bottom"/>
          </w:tcPr>
          <w:p w14:paraId="79470310"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344D74EC" w14:textId="77777777" w:rsidR="006C63AC" w:rsidRDefault="006C63AC" w:rsidP="006C63AC">
            <w:pPr>
              <w:pStyle w:val="TableColumn"/>
              <w:rPr>
                <w:rFonts w:ascii="Wingdings" w:hAnsi="Wingdings"/>
              </w:rPr>
            </w:pPr>
          </w:p>
        </w:tc>
        <w:tc>
          <w:tcPr>
            <w:tcW w:w="822" w:type="dxa"/>
            <w:vAlign w:val="bottom"/>
          </w:tcPr>
          <w:p w14:paraId="1A8B622B" w14:textId="77777777" w:rsidR="006C63AC" w:rsidRDefault="006C63AC" w:rsidP="006C63AC">
            <w:pPr>
              <w:pStyle w:val="TableColumn"/>
            </w:pPr>
          </w:p>
        </w:tc>
      </w:tr>
      <w:tr w:rsidR="006C63AC" w:rsidRPr="00AB3F9D" w14:paraId="0063A4FE" w14:textId="77777777" w:rsidTr="006C63AC">
        <w:trPr>
          <w:cnfStyle w:val="000000100000" w:firstRow="0" w:lastRow="0" w:firstColumn="0" w:lastColumn="0" w:oddVBand="0" w:evenVBand="0" w:oddHBand="1" w:evenHBand="0" w:firstRowFirstColumn="0" w:firstRowLastColumn="0" w:lastRowFirstColumn="0" w:lastRowLastColumn="0"/>
        </w:trPr>
        <w:tc>
          <w:tcPr>
            <w:tcW w:w="3686" w:type="dxa"/>
            <w:vAlign w:val="bottom"/>
          </w:tcPr>
          <w:p w14:paraId="29BC60AC" w14:textId="77777777" w:rsidR="006C63AC" w:rsidRPr="006C63AC" w:rsidRDefault="006C63AC" w:rsidP="006C63AC">
            <w:pPr>
              <w:pStyle w:val="TableRow"/>
              <w:rPr>
                <w:lang w:val="en-GB"/>
              </w:rPr>
            </w:pPr>
            <w:r w:rsidRPr="006C63AC">
              <w:rPr>
                <w:lang w:val="en-GB"/>
              </w:rPr>
              <w:t>Management of privatisations</w:t>
            </w:r>
          </w:p>
        </w:tc>
        <w:tc>
          <w:tcPr>
            <w:tcW w:w="964" w:type="dxa"/>
            <w:vAlign w:val="bottom"/>
          </w:tcPr>
          <w:p w14:paraId="3AD56F64" w14:textId="77777777" w:rsidR="006C63AC" w:rsidRDefault="006C63AC" w:rsidP="006C63AC">
            <w:pPr>
              <w:pStyle w:val="TableColumn"/>
            </w:pPr>
            <w:r>
              <w:t>0%</w:t>
            </w:r>
          </w:p>
        </w:tc>
        <w:tc>
          <w:tcPr>
            <w:tcW w:w="822" w:type="dxa"/>
            <w:vAlign w:val="bottom"/>
          </w:tcPr>
          <w:p w14:paraId="291F1F0E" w14:textId="77777777" w:rsidR="006C63AC" w:rsidRDefault="006C63AC" w:rsidP="006C63AC">
            <w:pPr>
              <w:pStyle w:val="TableColumn"/>
            </w:pPr>
          </w:p>
        </w:tc>
        <w:tc>
          <w:tcPr>
            <w:tcW w:w="822" w:type="dxa"/>
            <w:vAlign w:val="bottom"/>
          </w:tcPr>
          <w:p w14:paraId="29F719C1" w14:textId="77777777" w:rsidR="006C63AC" w:rsidRDefault="006C63AC" w:rsidP="006C63AC">
            <w:pPr>
              <w:pStyle w:val="TableColumn"/>
              <w:rPr>
                <w:rFonts w:ascii="Wingdings" w:hAnsi="Wingdings"/>
              </w:rPr>
            </w:pPr>
            <w:r>
              <w:rPr>
                <w:rFonts w:ascii="Wingdings" w:hAnsi="Wingdings"/>
              </w:rPr>
              <w:sym w:font="Wingdings" w:char="F0FC"/>
            </w:r>
          </w:p>
        </w:tc>
        <w:tc>
          <w:tcPr>
            <w:tcW w:w="822" w:type="dxa"/>
            <w:vAlign w:val="bottom"/>
          </w:tcPr>
          <w:p w14:paraId="07A3C766" w14:textId="77777777" w:rsidR="006C63AC" w:rsidRDefault="006C63AC" w:rsidP="006C63AC">
            <w:pPr>
              <w:pStyle w:val="TableColumn"/>
              <w:rPr>
                <w:rFonts w:ascii="Wingdings" w:hAnsi="Wingdings"/>
              </w:rPr>
            </w:pPr>
          </w:p>
        </w:tc>
        <w:tc>
          <w:tcPr>
            <w:tcW w:w="822" w:type="dxa"/>
            <w:vAlign w:val="bottom"/>
          </w:tcPr>
          <w:p w14:paraId="31255611" w14:textId="77777777" w:rsidR="006C63AC" w:rsidRDefault="006C63AC" w:rsidP="006C63AC">
            <w:pPr>
              <w:pStyle w:val="TableColumn"/>
            </w:pPr>
          </w:p>
        </w:tc>
      </w:tr>
    </w:tbl>
    <w:p w14:paraId="09BD5D73" w14:textId="77777777" w:rsidR="00CB3CC6" w:rsidRDefault="006C63AC" w:rsidP="00135DF1">
      <w:pPr>
        <w:pStyle w:val="Sourcenotes"/>
      </w:pPr>
      <w:r w:rsidRPr="00454399">
        <w:rPr>
          <w:i/>
        </w:rPr>
        <w:t>Source</w:t>
      </w:r>
      <w:r>
        <w:t>: OECD-IDB survey of Investment Promotion Agencies (2019)</w:t>
      </w:r>
      <w:r w:rsidR="00C603B8">
        <w:t>.</w:t>
      </w:r>
    </w:p>
    <w:p w14:paraId="5E3193AB" w14:textId="0BDBACA4" w:rsidR="00345333" w:rsidRDefault="00345333" w:rsidP="00345333">
      <w:pPr>
        <w:pStyle w:val="Para0"/>
      </w:pPr>
      <w:r w:rsidRPr="0055296D">
        <w:t xml:space="preserve">The level of specialisation of an IPA, reflected in the number of its official mandates, is sometimes considered in relation to its size </w:t>
      </w:r>
      <w:r w:rsidR="00631E37">
        <w:t>and</w:t>
      </w:r>
      <w:r w:rsidRPr="0055296D">
        <w:t xml:space="preserve"> resources (OECD, 2018</w:t>
      </w:r>
      <w:r w:rsidR="00AB1A30">
        <w:t>a</w:t>
      </w:r>
      <w:r w:rsidRPr="0055296D">
        <w:t xml:space="preserve">). Given the smaller size of </w:t>
      </w:r>
      <w:r w:rsidR="00DB49AD">
        <w:t>EaP</w:t>
      </w:r>
      <w:r w:rsidRPr="0055296D">
        <w:t xml:space="preserve"> countries, their IPAs are often also relatively small, employing up to 60 employees in Georgia and as few as 3 in Azerbaijan, compared to th</w:t>
      </w:r>
      <w:r w:rsidR="0055296D" w:rsidRPr="0055296D">
        <w:t>e OECD median of 116 (Figure 3.3</w:t>
      </w:r>
      <w:r w:rsidRPr="0055296D">
        <w:t>).</w:t>
      </w:r>
      <w:r w:rsidR="009E77DA">
        <w:t xml:space="preserve"> Adopting a generalist approach with multiple mandates across different policy areas </w:t>
      </w:r>
      <w:r w:rsidR="00631E37">
        <w:t>but</w:t>
      </w:r>
      <w:r w:rsidR="009E77DA">
        <w:t xml:space="preserve"> very few human and financial resources</w:t>
      </w:r>
      <w:r w:rsidR="00631E37">
        <w:t>, as is the case in Azerbaijan and Belarus,</w:t>
      </w:r>
      <w:r w:rsidR="009E77DA">
        <w:t xml:space="preserve"> can </w:t>
      </w:r>
      <w:r w:rsidR="00631E37">
        <w:t>result</w:t>
      </w:r>
      <w:r w:rsidR="009E77DA">
        <w:t xml:space="preserve"> in limited effectiveness of IPA efforts.</w:t>
      </w:r>
      <w:r w:rsidR="00D04A90">
        <w:t xml:space="preserve"> Most countries </w:t>
      </w:r>
      <w:r w:rsidR="00631E37">
        <w:t xml:space="preserve">in the OECD </w:t>
      </w:r>
      <w:r w:rsidR="00D04A90">
        <w:t xml:space="preserve">opt </w:t>
      </w:r>
      <w:r w:rsidR="00631E37">
        <w:t xml:space="preserve">either </w:t>
      </w:r>
      <w:r w:rsidR="00D04A90">
        <w:t>for s</w:t>
      </w:r>
      <w:r w:rsidR="00631E37">
        <w:t xml:space="preserve">maller IPAs with few core mandates (e.g. Austria, Canada, Iceland, Netherlands, </w:t>
      </w:r>
      <w:r w:rsidR="00631E37">
        <w:lastRenderedPageBreak/>
        <w:t>Denmark)</w:t>
      </w:r>
      <w:r w:rsidR="00D04A90">
        <w:t xml:space="preserve"> or larger IPAs with broader responsibilities (</w:t>
      </w:r>
      <w:r w:rsidR="00631E37">
        <w:t>e.g. Germany, Korea, Czech Republic, Estonia, Japan</w:t>
      </w:r>
      <w:r w:rsidR="00D04A90">
        <w:t>).</w:t>
      </w:r>
    </w:p>
    <w:p w14:paraId="2EFAEE26" w14:textId="4800F3C6" w:rsidR="00345333" w:rsidRDefault="00345333" w:rsidP="00345333">
      <w:pPr>
        <w:pStyle w:val="Caption"/>
      </w:pPr>
      <w:bookmarkStart w:id="69" w:name="_Toc31983250"/>
      <w:bookmarkStart w:id="70" w:name="_Toc33443334"/>
      <w:r>
        <w:t xml:space="preserve">Figure </w:t>
      </w:r>
      <w:fldSimple w:instr=" STYLEREF 1 \s ">
        <w:r w:rsidR="004B1200">
          <w:rPr>
            <w:noProof/>
          </w:rPr>
          <w:t>3</w:t>
        </w:r>
      </w:fldSimple>
      <w:r>
        <w:t>.</w:t>
      </w:r>
      <w:r>
        <w:rPr>
          <w:noProof/>
        </w:rPr>
        <w:fldChar w:fldCharType="begin"/>
      </w:r>
      <w:r>
        <w:rPr>
          <w:noProof/>
        </w:rPr>
        <w:instrText xml:space="preserve"> SEQ Figure \* ARABIC \s 1 </w:instrText>
      </w:r>
      <w:r>
        <w:rPr>
          <w:noProof/>
        </w:rPr>
        <w:fldChar w:fldCharType="separate"/>
      </w:r>
      <w:r w:rsidR="004B1200">
        <w:rPr>
          <w:noProof/>
        </w:rPr>
        <w:t>3</w:t>
      </w:r>
      <w:r>
        <w:rPr>
          <w:noProof/>
        </w:rPr>
        <w:fldChar w:fldCharType="end"/>
      </w:r>
      <w:r>
        <w:t>. Number of mandates and employees of IPAs</w:t>
      </w:r>
      <w:bookmarkEnd w:id="69"/>
      <w:bookmarkEnd w:id="70"/>
    </w:p>
    <w:p w14:paraId="6B8EF846" w14:textId="77777777" w:rsidR="00345333" w:rsidRDefault="00345333" w:rsidP="00345333">
      <w:pPr>
        <w:pStyle w:val="Figure"/>
        <w:rPr>
          <w:i/>
        </w:rPr>
      </w:pPr>
      <w:r w:rsidRPr="003B3581">
        <w:rPr>
          <w:noProof/>
          <w:lang w:eastAsia="en-GB"/>
        </w:rPr>
        <w:drawing>
          <wp:inline distT="0" distB="0" distL="0" distR="0" wp14:anchorId="780CF42A" wp14:editId="78AD1C27">
            <wp:extent cx="5040000" cy="2101912"/>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40000" cy="2101912"/>
                    </a:xfrm>
                    <a:prstGeom prst="rect">
                      <a:avLst/>
                    </a:prstGeom>
                    <a:noFill/>
                    <a:ln>
                      <a:noFill/>
                    </a:ln>
                  </pic:spPr>
                </pic:pic>
              </a:graphicData>
            </a:graphic>
          </wp:inline>
        </w:drawing>
      </w:r>
    </w:p>
    <w:p w14:paraId="66D798C7" w14:textId="77777777" w:rsidR="00345333" w:rsidRPr="00454399" w:rsidRDefault="00345333" w:rsidP="00345333">
      <w:pPr>
        <w:pStyle w:val="Sourcenotes"/>
      </w:pPr>
      <w:r w:rsidRPr="00454399">
        <w:rPr>
          <w:i/>
        </w:rPr>
        <w:t>Source</w:t>
      </w:r>
      <w:r>
        <w:t>: OECD-IDB survey of Investment Promotion Agencies (2019).</w:t>
      </w:r>
    </w:p>
    <w:p w14:paraId="3A6EB0B1" w14:textId="12DEEE6D" w:rsidR="00AA0E22" w:rsidRDefault="00621F2F" w:rsidP="00BB5E70">
      <w:pPr>
        <w:pStyle w:val="Heading3"/>
      </w:pPr>
      <w:r>
        <w:t>Governance of IPAs should involve private sector participation</w:t>
      </w:r>
    </w:p>
    <w:p w14:paraId="437D4CEB" w14:textId="77777777" w:rsidR="00B77EF6" w:rsidRDefault="00B77EF6" w:rsidP="00B77EF6">
      <w:pPr>
        <w:pStyle w:val="Para0"/>
      </w:pPr>
      <w:r>
        <w:t xml:space="preserve">The governance of an IPA relates to the way it is supervised, guided, controlled and managed. IPAs’ governance policies are often dictated by their institutional contexts and broader political choices. It affects their legal status, reporting lines and managerial structure, including the role of their board in case they have one. </w:t>
      </w:r>
    </w:p>
    <w:p w14:paraId="38FCAC50" w14:textId="0515ED13" w:rsidR="00AA0E22" w:rsidRDefault="00B77EF6" w:rsidP="00B77EF6">
      <w:pPr>
        <w:pStyle w:val="Para0"/>
      </w:pPr>
      <w:r>
        <w:t>IPAs</w:t>
      </w:r>
      <w:r w:rsidRPr="0052466B">
        <w:t xml:space="preserve"> can </w:t>
      </w:r>
      <w:r>
        <w:t xml:space="preserve">usually </w:t>
      </w:r>
      <w:r w:rsidRPr="0052466B">
        <w:t xml:space="preserve">be </w:t>
      </w:r>
      <w:r>
        <w:t xml:space="preserve">created as: </w:t>
      </w:r>
      <w:r w:rsidRPr="00035381">
        <w:rPr>
          <w:i/>
        </w:rPr>
        <w:t>i)</w:t>
      </w:r>
      <w:r>
        <w:t xml:space="preserve"> </w:t>
      </w:r>
      <w:r w:rsidRPr="0052466B">
        <w:t>part of a ministry</w:t>
      </w:r>
      <w:r>
        <w:t>;</w:t>
      </w:r>
      <w:r w:rsidRPr="0052466B">
        <w:t xml:space="preserve"> </w:t>
      </w:r>
      <w:r w:rsidRPr="00035381">
        <w:rPr>
          <w:i/>
        </w:rPr>
        <w:t>ii)</w:t>
      </w:r>
      <w:r>
        <w:t xml:space="preserve"> an autonomous public</w:t>
      </w:r>
      <w:r w:rsidRPr="0052466B">
        <w:t xml:space="preserve"> agency</w:t>
      </w:r>
      <w:r>
        <w:t xml:space="preserve">; </w:t>
      </w:r>
      <w:r w:rsidRPr="00035381">
        <w:rPr>
          <w:i/>
        </w:rPr>
        <w:t>iii)</w:t>
      </w:r>
      <w:r>
        <w:t xml:space="preserve"> a joint public-private body; or </w:t>
      </w:r>
      <w:r w:rsidRPr="00035381">
        <w:rPr>
          <w:i/>
        </w:rPr>
        <w:t>iv</w:t>
      </w:r>
      <w:r>
        <w:rPr>
          <w:i/>
        </w:rPr>
        <w:t>) </w:t>
      </w:r>
      <w:r>
        <w:t>a fully privately-owned organisation</w:t>
      </w:r>
      <w:r w:rsidRPr="0052466B">
        <w:t>.</w:t>
      </w:r>
      <w:r w:rsidR="00EE3B54">
        <w:t xml:space="preserve"> Enterprise Georgia, and NAIP </w:t>
      </w:r>
      <w:r>
        <w:t>belong</w:t>
      </w:r>
      <w:r w:rsidR="00EE3B54">
        <w:t xml:space="preserve"> to the second category, as they</w:t>
      </w:r>
      <w:r>
        <w:t xml:space="preserve"> </w:t>
      </w:r>
      <w:r w:rsidR="00EE3B54">
        <w:t>are</w:t>
      </w:r>
      <w:r>
        <w:t xml:space="preserve"> autonomous public agenc</w:t>
      </w:r>
      <w:r w:rsidR="00EE3B54">
        <w:t>ies</w:t>
      </w:r>
      <w:r>
        <w:t xml:space="preserve"> under the authority of </w:t>
      </w:r>
      <w:r w:rsidR="00EE3B54">
        <w:t>the ministries</w:t>
      </w:r>
      <w:r>
        <w:t xml:space="preserve"> to whom </w:t>
      </w:r>
      <w:r w:rsidR="00EE3B54">
        <w:t>they</w:t>
      </w:r>
      <w:r w:rsidR="00604254">
        <w:t xml:space="preserve"> report</w:t>
      </w:r>
      <w:r w:rsidR="00EE3B54">
        <w:t>;</w:t>
      </w:r>
      <w:r>
        <w:t xml:space="preserve"> </w:t>
      </w:r>
      <w:r w:rsidR="00EE3B54">
        <w:t xml:space="preserve">Ukraine Invest is also an autonomous public agency but responds directly to the </w:t>
      </w:r>
      <w:r w:rsidR="0022291C">
        <w:t>prime minister</w:t>
      </w:r>
      <w:r w:rsidR="00EE3B54">
        <w:t xml:space="preserve">; while </w:t>
      </w:r>
      <w:r w:rsidR="00797913">
        <w:t>AZPROMO</w:t>
      </w:r>
      <w:r w:rsidR="00EE3B54">
        <w:t xml:space="preserve"> is </w:t>
      </w:r>
      <w:r w:rsidR="00B37976">
        <w:t xml:space="preserve">a </w:t>
      </w:r>
      <w:r w:rsidR="00EE3B54">
        <w:t xml:space="preserve">departmental unit within the Ministry of Economy. </w:t>
      </w:r>
      <w:r>
        <w:t>Autonomous public agencies are the most common forms of IPA legal status according to the IPA surveys conducted by the OECD. All IPAs in the MED region and 60% of those in the OECD are autonomous public agencies (OECD, 2018a and 2019). Across OECD agencies, the second most frequent legal status – just below a third – are governmental IPAs (part of a ministry) and the remaining 9% are private or semi-private.</w:t>
      </w:r>
    </w:p>
    <w:p w14:paraId="506B43D7" w14:textId="5F0F9FF7" w:rsidR="00135DF1" w:rsidRDefault="00604254" w:rsidP="00135DF1">
      <w:pPr>
        <w:pStyle w:val="Para0"/>
      </w:pPr>
      <w:r>
        <w:t xml:space="preserve">An important part of the governance of IPAs is the existence and role of a board. </w:t>
      </w:r>
      <w:r w:rsidR="00CD0F2D">
        <w:t>A</w:t>
      </w:r>
      <w:r>
        <w:t xml:space="preserve"> </w:t>
      </w:r>
      <w:r w:rsidR="00CD0F2D">
        <w:t xml:space="preserve">board is sometimes established </w:t>
      </w:r>
      <w:r>
        <w:t>to supervise the work of the agency. Boards vary greatly from one IPA to another; they can be of advisory nature or with a high degree of decision-making power. They can be composed of public or private</w:t>
      </w:r>
      <w:r w:rsidR="008D6C91">
        <w:t xml:space="preserve"> sector</w:t>
      </w:r>
      <w:r>
        <w:t xml:space="preserve"> representatives, or both, and sometimes include representatives from research and academia, civil society or other parts of society.</w:t>
      </w:r>
      <w:r w:rsidR="00135DF1">
        <w:t xml:space="preserve"> In OECD economies, over two thirds of IPAs (69%) have a board, either supervisory or advisory, and 41% </w:t>
      </w:r>
      <w:r w:rsidR="00CD0F2D">
        <w:t>have a supervisory</w:t>
      </w:r>
      <w:r w:rsidR="00135DF1">
        <w:t xml:space="preserve"> board. In general, IPAs that enjoy greater legal autonomy are more likely to be governed by a board</w:t>
      </w:r>
      <w:r w:rsidR="00F44930">
        <w:t xml:space="preserve">, but </w:t>
      </w:r>
      <w:r w:rsidR="00F44930" w:rsidRPr="00F44930">
        <w:t xml:space="preserve">even those IPAs that are within a ministry </w:t>
      </w:r>
      <w:r w:rsidR="00F44930">
        <w:t>can benefit greatly from</w:t>
      </w:r>
      <w:r w:rsidR="00F44930" w:rsidRPr="00F44930">
        <w:t xml:space="preserve"> having a board to advise them.</w:t>
      </w:r>
    </w:p>
    <w:p w14:paraId="3E167396" w14:textId="716242F9" w:rsidR="001832A3" w:rsidRDefault="00135DF1" w:rsidP="00CD0F2D">
      <w:pPr>
        <w:pStyle w:val="Para0"/>
      </w:pPr>
      <w:r>
        <w:t xml:space="preserve">Of the four surveyed IPAs in the region, only Ukraine Invest </w:t>
      </w:r>
      <w:r w:rsidR="001832A3">
        <w:t>reports to a supervisory board</w:t>
      </w:r>
      <w:r w:rsidR="00CD0F2D">
        <w:t>,</w:t>
      </w:r>
      <w:r w:rsidR="0022291C">
        <w:t xml:space="preserve"> </w:t>
      </w:r>
      <w:r w:rsidR="00CD0F2D">
        <w:t>in addition</w:t>
      </w:r>
      <w:r w:rsidR="0022291C">
        <w:t xml:space="preserve"> to the prime minister and the secretariat of the cabinet of ministers.</w:t>
      </w:r>
      <w:r w:rsidR="00C46B2F">
        <w:t xml:space="preserve"> </w:t>
      </w:r>
      <w:r w:rsidR="00C46B2F" w:rsidRPr="001262C3">
        <w:t xml:space="preserve">The board is composed of </w:t>
      </w:r>
      <w:r w:rsidR="001262C3" w:rsidRPr="001262C3">
        <w:t>six</w:t>
      </w:r>
      <w:r w:rsidR="00C46B2F" w:rsidRPr="001262C3">
        <w:t xml:space="preserve"> members including </w:t>
      </w:r>
      <w:r w:rsidR="00447D74" w:rsidRPr="001262C3">
        <w:t>a chairperson</w:t>
      </w:r>
      <w:r w:rsidR="001262C3" w:rsidRPr="001262C3">
        <w:t>, three</w:t>
      </w:r>
      <w:r w:rsidR="00C46B2F" w:rsidRPr="001262C3">
        <w:t xml:space="preserve"> public sector members and </w:t>
      </w:r>
      <w:r w:rsidR="001262C3" w:rsidRPr="001262C3">
        <w:t xml:space="preserve">two </w:t>
      </w:r>
      <w:r w:rsidR="001262C3" w:rsidRPr="001262C3">
        <w:lastRenderedPageBreak/>
        <w:t>independent experts</w:t>
      </w:r>
      <w:r w:rsidR="00C02233">
        <w:t xml:space="preserve"> (Figure 3.</w:t>
      </w:r>
      <w:r w:rsidR="002C59EB">
        <w:t>4</w:t>
      </w:r>
      <w:r w:rsidR="00C02233">
        <w:t>)</w:t>
      </w:r>
      <w:r w:rsidR="00C46B2F" w:rsidRPr="001262C3">
        <w:t>.</w:t>
      </w:r>
      <w:r w:rsidR="00447D74" w:rsidRPr="001262C3">
        <w:t xml:space="preserve"> </w:t>
      </w:r>
      <w:r w:rsidR="001832A3">
        <w:t>T</w:t>
      </w:r>
      <w:r w:rsidR="00F841E8">
        <w:t xml:space="preserve">he existence of the board in itself is a positive </w:t>
      </w:r>
      <w:r w:rsidR="001832A3">
        <w:t>element</w:t>
      </w:r>
      <w:r w:rsidR="00CD0F2D">
        <w:t>, as it allows for an external and independent entity to supervise the work of the agency</w:t>
      </w:r>
      <w:r w:rsidR="001832A3">
        <w:t>. However,</w:t>
      </w:r>
      <w:r w:rsidR="00CD0F2D">
        <w:t xml:space="preserve"> </w:t>
      </w:r>
      <w:r w:rsidR="000A1900">
        <w:t>the board would benefit greatly from</w:t>
      </w:r>
      <w:r w:rsidR="00CD0F2D">
        <w:t xml:space="preserve"> </w:t>
      </w:r>
      <w:r w:rsidR="000A1900">
        <w:t xml:space="preserve">including </w:t>
      </w:r>
      <w:r w:rsidR="00447D74" w:rsidRPr="00CD0F2D">
        <w:t>private sector representative</w:t>
      </w:r>
      <w:r w:rsidR="000A1900">
        <w:t>s among its members,</w:t>
      </w:r>
      <w:r w:rsidR="00447D74" w:rsidRPr="00CD0F2D">
        <w:t xml:space="preserve"> </w:t>
      </w:r>
      <w:r w:rsidR="000A1900">
        <w:t>as they would</w:t>
      </w:r>
      <w:r w:rsidR="00447D74" w:rsidRPr="00CD0F2D">
        <w:t xml:space="preserve"> ensure that the views and interests of</w:t>
      </w:r>
      <w:r w:rsidR="00EB5AA0" w:rsidRPr="00CD0F2D">
        <w:t xml:space="preserve"> </w:t>
      </w:r>
      <w:r w:rsidR="00447D74" w:rsidRPr="00CD0F2D">
        <w:t>businesses</w:t>
      </w:r>
      <w:r w:rsidR="00EB5AA0" w:rsidRPr="00CD0F2D">
        <w:t xml:space="preserve"> </w:t>
      </w:r>
      <w:r w:rsidR="00447D74" w:rsidRPr="00CD0F2D">
        <w:t xml:space="preserve">are taken </w:t>
      </w:r>
      <w:r w:rsidR="00CD0F2D">
        <w:t>into account</w:t>
      </w:r>
      <w:r w:rsidR="00447D74" w:rsidRPr="00CD0F2D">
        <w:t xml:space="preserve"> in </w:t>
      </w:r>
      <w:r w:rsidR="00EB5AA0" w:rsidRPr="00CD0F2D">
        <w:t>Ukraine Invest’s strategic directions.</w:t>
      </w:r>
    </w:p>
    <w:p w14:paraId="7E5D0B38" w14:textId="77777777" w:rsidR="00604254" w:rsidRDefault="00603B2A" w:rsidP="00CD0F2D">
      <w:pPr>
        <w:pStyle w:val="Para0"/>
      </w:pPr>
      <w:r>
        <w:t>As a matter of comparison, in OECD IPAs, boards are often larger (around ten people on average) and members include just over 40% of private sector representatives</w:t>
      </w:r>
      <w:r w:rsidR="000A1900">
        <w:t>,</w:t>
      </w:r>
      <w:r>
        <w:t xml:space="preserve"> on average – the remaining being representatives of the public sector, research and academia, civil society or other areas. In MED agencies, public sector members tend to dominate but the private sector is often well represented. </w:t>
      </w:r>
      <w:r w:rsidR="000A50C4">
        <w:t xml:space="preserve">For Moldova and Armenia, who are currently in the process of restructuring their respective IPAs, it is worth considering whether to establish a supervisory board to govern the new IPAs and if so, to include private sector representatives among the board members. </w:t>
      </w:r>
      <w:r>
        <w:t>I</w:t>
      </w:r>
      <w:r w:rsidR="00122281" w:rsidRPr="00603B2A">
        <w:t>mportantly, having private sector representatives in the board should not substitute for wide and systematic private sector consultation platforms and mechanisms.</w:t>
      </w:r>
    </w:p>
    <w:p w14:paraId="5284595B" w14:textId="7AB80834" w:rsidR="00387536" w:rsidRDefault="00387536" w:rsidP="00EA76E8">
      <w:pPr>
        <w:pStyle w:val="Caption"/>
      </w:pPr>
      <w:bookmarkStart w:id="71" w:name="_Toc31983251"/>
      <w:bookmarkStart w:id="72" w:name="_Toc33443335"/>
      <w:r>
        <w:t xml:space="preserve">Figure </w:t>
      </w:r>
      <w:fldSimple w:instr=" STYLEREF 1 \s ">
        <w:r w:rsidR="004B1200">
          <w:rPr>
            <w:noProof/>
          </w:rPr>
          <w:t>3</w:t>
        </w:r>
      </w:fldSimple>
      <w:r>
        <w:t>.</w:t>
      </w:r>
      <w:r>
        <w:rPr>
          <w:noProof/>
        </w:rPr>
        <w:fldChar w:fldCharType="begin"/>
      </w:r>
      <w:r>
        <w:rPr>
          <w:noProof/>
        </w:rPr>
        <w:instrText xml:space="preserve"> SEQ Figure \* ARABIC \s 1 </w:instrText>
      </w:r>
      <w:r>
        <w:rPr>
          <w:noProof/>
        </w:rPr>
        <w:fldChar w:fldCharType="separate"/>
      </w:r>
      <w:r w:rsidR="004B1200">
        <w:rPr>
          <w:noProof/>
        </w:rPr>
        <w:t>4</w:t>
      </w:r>
      <w:r>
        <w:rPr>
          <w:noProof/>
        </w:rPr>
        <w:fldChar w:fldCharType="end"/>
      </w:r>
      <w:r>
        <w:t>. Board members in Ukraine Invest and selected other IPAs</w:t>
      </w:r>
      <w:bookmarkEnd w:id="71"/>
      <w:bookmarkEnd w:id="72"/>
    </w:p>
    <w:p w14:paraId="3A64D532" w14:textId="3FE0660B" w:rsidR="00387536" w:rsidRPr="00387536" w:rsidRDefault="004C6075" w:rsidP="00EA76E8">
      <w:pPr>
        <w:pStyle w:val="Figure"/>
      </w:pPr>
      <w:r>
        <w:rPr>
          <w:noProof/>
          <w:lang w:eastAsia="en-GB"/>
        </w:rPr>
        <w:drawing>
          <wp:inline distT="0" distB="0" distL="0" distR="0" wp14:anchorId="3A96B9F0" wp14:editId="10ADBB15">
            <wp:extent cx="5040000" cy="2387107"/>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000" cy="2387107"/>
                    </a:xfrm>
                    <a:prstGeom prst="rect">
                      <a:avLst/>
                    </a:prstGeom>
                    <a:noFill/>
                  </pic:spPr>
                </pic:pic>
              </a:graphicData>
            </a:graphic>
          </wp:inline>
        </w:drawing>
      </w:r>
    </w:p>
    <w:p w14:paraId="4953B089" w14:textId="77777777" w:rsidR="00387536" w:rsidRDefault="00387536" w:rsidP="00387536">
      <w:pPr>
        <w:pStyle w:val="Sourcenotes"/>
        <w:rPr>
          <w:i/>
        </w:rPr>
      </w:pPr>
      <w:r>
        <w:rPr>
          <w:i/>
        </w:rPr>
        <w:t>Note:</w:t>
      </w:r>
      <w:r>
        <w:t xml:space="preserve"> MED = Southern Mediterranean; Other = external experts.</w:t>
      </w:r>
    </w:p>
    <w:p w14:paraId="2AA85BA7" w14:textId="53BFC086" w:rsidR="00387536" w:rsidRDefault="00387536" w:rsidP="00387536">
      <w:pPr>
        <w:pStyle w:val="Sourcenotes"/>
      </w:pPr>
      <w:r w:rsidRPr="00454399">
        <w:rPr>
          <w:i/>
        </w:rPr>
        <w:t>Source</w:t>
      </w:r>
      <w:r>
        <w:t>: OECD-IDB survey of Investment Promotion Agencies (2019)</w:t>
      </w:r>
      <w:r w:rsidR="00C603B8">
        <w:t>.</w:t>
      </w:r>
    </w:p>
    <w:p w14:paraId="21203AF3" w14:textId="1DA0E8F1" w:rsidR="00395D39" w:rsidRDefault="007F7202" w:rsidP="00395D39">
      <w:pPr>
        <w:pStyle w:val="Heading3"/>
      </w:pPr>
      <w:r>
        <w:t>Resources tend to prioritise image building functions</w:t>
      </w:r>
    </w:p>
    <w:p w14:paraId="0FA642D9" w14:textId="77777777" w:rsidR="00395D39" w:rsidRDefault="00395D39" w:rsidP="00395D39">
      <w:pPr>
        <w:pStyle w:val="Para0"/>
      </w:pPr>
      <w:r>
        <w:t>The way IPAs allocate their resources across the four core functions differs from one agency to another, and is driven by different factors. First, some functions can be more costly than others, as they are more personnel-intensive, for example. This is the case for investment generation and investment facilitation. Second, objectives vary from one agency to another and some of them face lower expectations to deliver facilitation and retention activities than others. Lastly, resource limitation in terms of budget and staff can have an impact on the way they choose to prioritise some activities over others to fulfil their mission.</w:t>
      </w:r>
    </w:p>
    <w:p w14:paraId="785F2D36" w14:textId="7E674F35" w:rsidR="00395D39" w:rsidRDefault="00395D39" w:rsidP="00395D39">
      <w:pPr>
        <w:pStyle w:val="Para0"/>
      </w:pPr>
      <w:r>
        <w:t>There is a clear distinction in the allocation of human resources across IPAs</w:t>
      </w:r>
      <w:r w:rsidR="00DB49AD">
        <w:t xml:space="preserve"> of EaP countries</w:t>
      </w:r>
      <w:r>
        <w:t xml:space="preserve"> (Figure 3.</w:t>
      </w:r>
      <w:r w:rsidR="00DC4D16">
        <w:t>5</w:t>
      </w:r>
      <w:r>
        <w:t xml:space="preserve">), with considerably greater focus given to image building in Azerbaijan (40%) and Belarus (60%), compared to Georgia (30%) and Ukraine (25%), where human resources are distributed more evenly across </w:t>
      </w:r>
      <w:r w:rsidRPr="00937F28">
        <w:t xml:space="preserve">image building, investment </w:t>
      </w:r>
      <w:r w:rsidRPr="00937F28">
        <w:lastRenderedPageBreak/>
        <w:t>generation and investment facilitation and retention</w:t>
      </w:r>
      <w:r>
        <w:t xml:space="preserve"> activities (25%-35%). In comparison, the estimated share for image building remains higher than in the OECD (17%), while the estimated percentage of staff dedicated to investment generation is somewhat lower than the average for OECD (42%). This reflects the fact that agencies from more advanced countries usually use fewer resources to work on branding or improving their countries’ image and dedicate most of their promotion efforts to more focused FDI attraction and generation activities. The investment facilitation and retention function is more homogenous across countries and regions, occupying around a third of employee hours. Policy advocacy is another function that is relatively similar across countries, and typically lower than 10%, although it is somewhat higher in the case of Azerbaijan.</w:t>
      </w:r>
    </w:p>
    <w:p w14:paraId="76565B2A" w14:textId="3218F208" w:rsidR="00395D39" w:rsidRDefault="00395D39" w:rsidP="00395D39">
      <w:pPr>
        <w:pStyle w:val="Caption"/>
      </w:pPr>
      <w:bookmarkStart w:id="73" w:name="_Toc31983252"/>
      <w:bookmarkStart w:id="74" w:name="_Toc33443336"/>
      <w:r>
        <w:t xml:space="preserve">Figure </w:t>
      </w:r>
      <w:fldSimple w:instr=" STYLEREF 1 \s ">
        <w:r w:rsidR="004B1200">
          <w:rPr>
            <w:noProof/>
          </w:rPr>
          <w:t>3</w:t>
        </w:r>
      </w:fldSimple>
      <w:r>
        <w:t>.</w:t>
      </w:r>
      <w:r>
        <w:rPr>
          <w:noProof/>
        </w:rPr>
        <w:fldChar w:fldCharType="begin"/>
      </w:r>
      <w:r>
        <w:rPr>
          <w:noProof/>
        </w:rPr>
        <w:instrText xml:space="preserve"> SEQ Figure \* ARABIC \s 1 </w:instrText>
      </w:r>
      <w:r>
        <w:rPr>
          <w:noProof/>
        </w:rPr>
        <w:fldChar w:fldCharType="separate"/>
      </w:r>
      <w:r w:rsidR="004B1200">
        <w:rPr>
          <w:noProof/>
        </w:rPr>
        <w:t>5</w:t>
      </w:r>
      <w:r>
        <w:rPr>
          <w:noProof/>
        </w:rPr>
        <w:fldChar w:fldCharType="end"/>
      </w:r>
      <w:r>
        <w:t xml:space="preserve">. </w:t>
      </w:r>
      <w:r w:rsidRPr="009C47B9">
        <w:rPr>
          <w:rFonts w:eastAsia="Batang"/>
        </w:rPr>
        <w:t>Estimated use of staff across the four investment promotion functions</w:t>
      </w:r>
      <w:bookmarkEnd w:id="73"/>
      <w:bookmarkEnd w:id="74"/>
    </w:p>
    <w:p w14:paraId="69F43F7C" w14:textId="77777777" w:rsidR="00395D39" w:rsidRDefault="00395D39" w:rsidP="00395D39">
      <w:pPr>
        <w:pStyle w:val="Figure"/>
        <w:rPr>
          <w:i/>
        </w:rPr>
      </w:pPr>
      <w:r w:rsidRPr="000A7FDD">
        <w:rPr>
          <w:noProof/>
          <w:lang w:eastAsia="en-GB"/>
        </w:rPr>
        <w:drawing>
          <wp:inline distT="0" distB="0" distL="0" distR="0" wp14:anchorId="2680A8C2" wp14:editId="30D6D0CD">
            <wp:extent cx="5040000" cy="2416731"/>
            <wp:effectExtent l="0" t="0" r="8255"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000" cy="2416731"/>
                    </a:xfrm>
                    <a:prstGeom prst="rect">
                      <a:avLst/>
                    </a:prstGeom>
                    <a:noFill/>
                    <a:ln>
                      <a:noFill/>
                    </a:ln>
                  </pic:spPr>
                </pic:pic>
              </a:graphicData>
            </a:graphic>
          </wp:inline>
        </w:drawing>
      </w:r>
    </w:p>
    <w:p w14:paraId="5A34612C" w14:textId="77777777" w:rsidR="00395D39" w:rsidRDefault="00395D39" w:rsidP="00395D39">
      <w:pPr>
        <w:pStyle w:val="Sourcenotes"/>
      </w:pPr>
      <w:r w:rsidRPr="00754E52">
        <w:rPr>
          <w:i/>
        </w:rPr>
        <w:t>Source</w:t>
      </w:r>
      <w:r w:rsidRPr="00754E52">
        <w:t>: OECD-IDB IPA survey of Investment Promotion Agencies (2019)</w:t>
      </w:r>
      <w:r>
        <w:t>.</w:t>
      </w:r>
    </w:p>
    <w:p w14:paraId="17D0CE04" w14:textId="1EB5A1F6" w:rsidR="00B2476C" w:rsidRDefault="007F7202" w:rsidP="00FF7BB1">
      <w:pPr>
        <w:pStyle w:val="Heading2"/>
        <w:rPr>
          <w:rFonts w:hint="eastAsia"/>
        </w:rPr>
      </w:pPr>
      <w:bookmarkStart w:id="75" w:name="_Toc31228351"/>
      <w:bookmarkStart w:id="76" w:name="_Toc31983285"/>
      <w:bookmarkStart w:id="77" w:name="_Toc33443296"/>
      <w:r>
        <w:t>Investment promotion requires a clear and well-defined strategy</w:t>
      </w:r>
      <w:bookmarkEnd w:id="75"/>
      <w:bookmarkEnd w:id="76"/>
      <w:bookmarkEnd w:id="77"/>
    </w:p>
    <w:p w14:paraId="407C39B5" w14:textId="77777777" w:rsidR="00EB182E" w:rsidRDefault="00EB182E" w:rsidP="00EB182E">
      <w:pPr>
        <w:pStyle w:val="Para0"/>
      </w:pPr>
      <w:r>
        <w:t xml:space="preserve">To attract FDI in support of national economic objectives, a government first needs to design a clear and well-defined strategy to provide an overall direction, with specific targets </w:t>
      </w:r>
      <w:r w:rsidRPr="00395494">
        <w:t xml:space="preserve">and means to achieve the set targets. Depending on the government’s objectives, </w:t>
      </w:r>
      <w:r>
        <w:t xml:space="preserve">three </w:t>
      </w:r>
      <w:r w:rsidRPr="00395494">
        <w:t>different types of investment strategies exist</w:t>
      </w:r>
      <w:r>
        <w:t>:</w:t>
      </w:r>
      <w:r w:rsidRPr="00395494">
        <w:t xml:space="preserve"> </w:t>
      </w:r>
    </w:p>
    <w:p w14:paraId="78BEAED1" w14:textId="77777777" w:rsidR="00EB182E" w:rsidRDefault="00EB182E" w:rsidP="00EB182E">
      <w:pPr>
        <w:pStyle w:val="Para0"/>
        <w:numPr>
          <w:ilvl w:val="0"/>
          <w:numId w:val="27"/>
        </w:numPr>
      </w:pPr>
      <w:r>
        <w:t>N</w:t>
      </w:r>
      <w:r w:rsidRPr="00395494">
        <w:t>ational policy statement</w:t>
      </w:r>
      <w:r>
        <w:t>s</w:t>
      </w:r>
      <w:r w:rsidRPr="00395494">
        <w:t xml:space="preserve"> on investment, which present and describe the investment landscape and the government’s strategic orientations; </w:t>
      </w:r>
    </w:p>
    <w:p w14:paraId="46456E81" w14:textId="77777777" w:rsidR="00EB182E" w:rsidRDefault="00EB182E" w:rsidP="00EB182E">
      <w:pPr>
        <w:pStyle w:val="Para0"/>
        <w:numPr>
          <w:ilvl w:val="0"/>
          <w:numId w:val="27"/>
        </w:numPr>
      </w:pPr>
      <w:r>
        <w:t>I</w:t>
      </w:r>
      <w:r w:rsidRPr="00395494">
        <w:t>nvestment promotion strateg</w:t>
      </w:r>
      <w:r>
        <w:t>ies</w:t>
      </w:r>
      <w:r w:rsidRPr="00395494">
        <w:t xml:space="preserve"> that define the government’s main </w:t>
      </w:r>
      <w:r>
        <w:t>targets</w:t>
      </w:r>
      <w:r w:rsidRPr="00395494">
        <w:t xml:space="preserve">, tools and performance indicators to attract inward foreign investment; and </w:t>
      </w:r>
    </w:p>
    <w:p w14:paraId="70AD17F6" w14:textId="77777777" w:rsidR="00EB182E" w:rsidRDefault="00EB182E" w:rsidP="00EB182E">
      <w:pPr>
        <w:pStyle w:val="Para0"/>
        <w:numPr>
          <w:ilvl w:val="0"/>
          <w:numId w:val="27"/>
        </w:numPr>
      </w:pPr>
      <w:r>
        <w:t>Comprehensive investment strategies that outline</w:t>
      </w:r>
      <w:r w:rsidRPr="00395494">
        <w:t xml:space="preserve"> </w:t>
      </w:r>
      <w:r>
        <w:t xml:space="preserve">in an action plan </w:t>
      </w:r>
      <w:r w:rsidRPr="00395494">
        <w:t xml:space="preserve">the government’s objectives and </w:t>
      </w:r>
      <w:r>
        <w:t xml:space="preserve">reform plans </w:t>
      </w:r>
      <w:r w:rsidRPr="00395494">
        <w:t>to foster investment</w:t>
      </w:r>
      <w:r w:rsidRPr="006A58CF">
        <w:t xml:space="preserve"> and </w:t>
      </w:r>
      <w:r>
        <w:t>the roles and responsibilities of all relevant government bodies</w:t>
      </w:r>
      <w:r w:rsidRPr="006A58CF">
        <w:t>.</w:t>
      </w:r>
      <w:r>
        <w:t xml:space="preserve"> </w:t>
      </w:r>
    </w:p>
    <w:p w14:paraId="3B7D350C" w14:textId="2D18EBFD" w:rsidR="00FF7BB1" w:rsidRDefault="00EB182E" w:rsidP="00EB182E">
      <w:pPr>
        <w:pStyle w:val="Para0"/>
      </w:pPr>
      <w:r>
        <w:t xml:space="preserve">Annex </w:t>
      </w:r>
      <w:r w:rsidR="001F34E8">
        <w:t>3</w:t>
      </w:r>
      <w:r>
        <w:t xml:space="preserve">.A provides a comparative overview of these different strategies, which could help the governments of </w:t>
      </w:r>
      <w:r w:rsidR="00E16572">
        <w:t>EaP</w:t>
      </w:r>
      <w:r>
        <w:t xml:space="preserve"> countries in their future investment strategy making. It is recommended that the authorities prepare both an overarching policy statement on investment, to give broad orientations to their institutions and a clear vision to the international business community, and a more-focused investment promotion strategy to </w:t>
      </w:r>
      <w:r>
        <w:lastRenderedPageBreak/>
        <w:t>guide the IPA in its activities and ensure they are well-aligned with national development objectives.</w:t>
      </w:r>
    </w:p>
    <w:p w14:paraId="4D68F0CA" w14:textId="0BAD7DDD" w:rsidR="009F3B6D" w:rsidRDefault="007F7202" w:rsidP="009F3B6D">
      <w:pPr>
        <w:pStyle w:val="Title3"/>
      </w:pPr>
      <w:r>
        <w:t>Investment promotion strategies, where available, are not sufficiently specific</w:t>
      </w:r>
    </w:p>
    <w:p w14:paraId="4DEA50A5" w14:textId="77777777" w:rsidR="009F3B6D" w:rsidRDefault="009F3B6D" w:rsidP="009F3B6D">
      <w:pPr>
        <w:pStyle w:val="Para0"/>
      </w:pPr>
      <w:r>
        <w:t xml:space="preserve">An investment promotion strategy is a focused and operational policy tool, usually designed by or for the country’s national IPA. It should focus on inward foreign investment and </w:t>
      </w:r>
      <w:r w:rsidRPr="006F1F0D">
        <w:t xml:space="preserve">define </w:t>
      </w:r>
      <w:r>
        <w:t>the major</w:t>
      </w:r>
      <w:r w:rsidRPr="006F1F0D">
        <w:t xml:space="preserve"> objectives, tools and </w:t>
      </w:r>
      <w:r>
        <w:t>activities</w:t>
      </w:r>
      <w:r w:rsidRPr="006F1F0D">
        <w:t xml:space="preserve"> to attract investment,</w:t>
      </w:r>
      <w:r>
        <w:t xml:space="preserve"> including specific targets and </w:t>
      </w:r>
      <w:r w:rsidRPr="006F1F0D">
        <w:t xml:space="preserve">performance </w:t>
      </w:r>
      <w:r>
        <w:t xml:space="preserve">indicators to evaluate success, priority sectors and countries for FDI attraction, and the role and responsibilities of the IPA and other agencies to support these objectives or targets. </w:t>
      </w:r>
    </w:p>
    <w:p w14:paraId="08CF235C" w14:textId="206168EC" w:rsidR="00DE493C" w:rsidRDefault="009F3B6D" w:rsidP="00DE493C">
      <w:pPr>
        <w:pStyle w:val="Para0"/>
      </w:pPr>
      <w:r>
        <w:t xml:space="preserve">Investment promotion strategies are </w:t>
      </w:r>
      <w:r w:rsidR="007016EB">
        <w:t>designed</w:t>
      </w:r>
      <w:r>
        <w:t xml:space="preserve"> to</w:t>
      </w:r>
      <w:r w:rsidRPr="008A3404">
        <w:t xml:space="preserve"> </w:t>
      </w:r>
      <w:r>
        <w:t xml:space="preserve">ensure that promotion efforts contribute to the government’s broader national development objectives. They </w:t>
      </w:r>
      <w:r w:rsidRPr="008A3404">
        <w:t>revolve around the question of what to promote</w:t>
      </w:r>
      <w:r>
        <w:t xml:space="preserve"> (i.e. sectors, countries, projects, investors) and how to </w:t>
      </w:r>
      <w:r w:rsidR="004B6784">
        <w:t>promote</w:t>
      </w:r>
      <w:r>
        <w:t xml:space="preserve"> in practice. They should rely on a </w:t>
      </w:r>
      <w:r w:rsidR="004B6784">
        <w:t>thorough</w:t>
      </w:r>
      <w:r>
        <w:t xml:space="preserve"> evaluation of the economy’s strengths, weaknesses, opportunities and threats (SWOT), as </w:t>
      </w:r>
      <w:r w:rsidRPr="0048133B">
        <w:t>there is a risk</w:t>
      </w:r>
      <w:r>
        <w:t xml:space="preserve"> </w:t>
      </w:r>
      <w:r w:rsidRPr="0048133B">
        <w:t xml:space="preserve">associated with </w:t>
      </w:r>
      <w:r>
        <w:t>focusing on</w:t>
      </w:r>
      <w:r w:rsidRPr="0048133B">
        <w:t xml:space="preserve"> specific sectors or “picking winners” if these</w:t>
      </w:r>
      <w:r>
        <w:t xml:space="preserve"> </w:t>
      </w:r>
      <w:r w:rsidRPr="0048133B">
        <w:t>decisions are made based on political agendas rather than on economic rationales.</w:t>
      </w:r>
      <w:r>
        <w:t xml:space="preserve"> </w:t>
      </w:r>
      <w:r w:rsidR="00DE493C">
        <w:t>To ensure flexibility to respond and adapt to new market demands and opportunities, it is important to subject the investment promotion strategy to regular assessments and reviews, based on market realities.</w:t>
      </w:r>
    </w:p>
    <w:p w14:paraId="670AB18C" w14:textId="48E042CA" w:rsidR="004B6784" w:rsidRDefault="004B6784" w:rsidP="004B6784">
      <w:pPr>
        <w:pStyle w:val="Para0"/>
      </w:pPr>
      <w:r>
        <w:t>It is important that the investment promotion strategy and its main features are developed in co-ordination with other key ministries as, investment priorities need to be</w:t>
      </w:r>
      <w:r w:rsidRPr="00673078">
        <w:t xml:space="preserve"> </w:t>
      </w:r>
      <w:r>
        <w:t>aligned with other major policy strategies – including trade, innovation, industry and skills. Additionally,</w:t>
      </w:r>
      <w:r w:rsidR="001D6B6B">
        <w:t xml:space="preserve"> making</w:t>
      </w:r>
      <w:r>
        <w:t xml:space="preserve"> the investment promotion strategy publicly available not only supports inter-governmental co-ordination, but also helps raise the country’s positive image within the international business community and inform</w:t>
      </w:r>
      <w:r w:rsidR="007016EB">
        <w:t>s</w:t>
      </w:r>
      <w:r>
        <w:t xml:space="preserve"> it about priority sectors and investment opportunities. </w:t>
      </w:r>
    </w:p>
    <w:p w14:paraId="204A4391" w14:textId="174FC518" w:rsidR="009F3B6D" w:rsidRDefault="004B6784" w:rsidP="009F3B6D">
      <w:pPr>
        <w:pStyle w:val="Para0"/>
      </w:pPr>
      <w:r>
        <w:t>The investment promotion strategy should be very clear and specific about targets</w:t>
      </w:r>
      <w:r w:rsidR="001D6B6B">
        <w:t>,</w:t>
      </w:r>
      <w:r>
        <w:t xml:space="preserve"> </w:t>
      </w:r>
      <w:r w:rsidR="001D6B6B">
        <w:t xml:space="preserve">tools </w:t>
      </w:r>
      <w:r>
        <w:t>to reach the set targets</w:t>
      </w:r>
      <w:r w:rsidR="001D6B6B">
        <w:t>, and performance indicators to measure progress</w:t>
      </w:r>
      <w:r>
        <w:t xml:space="preserve">. It should </w:t>
      </w:r>
      <w:r w:rsidR="00664BCA">
        <w:t xml:space="preserve">provide clear indications on its implementation, including </w:t>
      </w:r>
      <w:r>
        <w:t xml:space="preserve">how staff </w:t>
      </w:r>
      <w:r w:rsidR="00664BCA">
        <w:t xml:space="preserve">should </w:t>
      </w:r>
      <w:r>
        <w:t xml:space="preserve">be organised internally, what the main activities it should focus on, what the key performance indicators </w:t>
      </w:r>
      <w:r w:rsidR="00291A7D">
        <w:t xml:space="preserve">(KPIs) </w:t>
      </w:r>
      <w:r>
        <w:t>to measure outputs and outcomes</w:t>
      </w:r>
      <w:r w:rsidR="00664BCA">
        <w:t xml:space="preserve"> are</w:t>
      </w:r>
      <w:r>
        <w:t xml:space="preserve">, and </w:t>
      </w:r>
      <w:r w:rsidR="00664BCA">
        <w:t>what</w:t>
      </w:r>
      <w:r>
        <w:t xml:space="preserve"> </w:t>
      </w:r>
      <w:r w:rsidR="00664BCA">
        <w:t>procedures</w:t>
      </w:r>
      <w:r>
        <w:t xml:space="preserve"> </w:t>
      </w:r>
      <w:r w:rsidR="00664BCA">
        <w:t xml:space="preserve">are </w:t>
      </w:r>
      <w:r>
        <w:t xml:space="preserve">in place to </w:t>
      </w:r>
      <w:r w:rsidR="00664BCA">
        <w:t>collaborate effectively</w:t>
      </w:r>
      <w:r>
        <w:t xml:space="preserve"> with other relevant public agencies and stakeholders (e.g. the private sector).</w:t>
      </w:r>
      <w:r w:rsidR="00291A7D">
        <w:t xml:space="preserve"> </w:t>
      </w:r>
      <w:r w:rsidR="00E16572">
        <w:t>Among EaP countries</w:t>
      </w:r>
      <w:r w:rsidR="005D2F0F">
        <w:t xml:space="preserve">, </w:t>
      </w:r>
      <w:r w:rsidR="00291A7D">
        <w:t>three</w:t>
      </w:r>
      <w:r w:rsidR="007B376D">
        <w:t xml:space="preserve"> of the surveyed IPAs have </w:t>
      </w:r>
      <w:r w:rsidR="0009143F">
        <w:t>dedicated</w:t>
      </w:r>
      <w:r w:rsidR="00291A7D">
        <w:t xml:space="preserve"> </w:t>
      </w:r>
      <w:r w:rsidR="007B376D">
        <w:t xml:space="preserve">investment promotion </w:t>
      </w:r>
      <w:r w:rsidR="002D5C9E">
        <w:t>strateg</w:t>
      </w:r>
      <w:r w:rsidR="00291A7D">
        <w:t>ies</w:t>
      </w:r>
      <w:r w:rsidR="002D5C9E">
        <w:t xml:space="preserve">, </w:t>
      </w:r>
      <w:r w:rsidR="00291A7D">
        <w:t xml:space="preserve">and </w:t>
      </w:r>
      <w:r w:rsidR="0021265D">
        <w:t xml:space="preserve">in </w:t>
      </w:r>
      <w:r w:rsidR="00291A7D">
        <w:t>Belarus</w:t>
      </w:r>
      <w:r w:rsidR="0009143F">
        <w:t xml:space="preserve"> </w:t>
      </w:r>
      <w:r w:rsidR="0021265D">
        <w:t xml:space="preserve">a </w:t>
      </w:r>
      <w:r w:rsidR="0009143F">
        <w:t>draft strategy</w:t>
      </w:r>
      <w:r w:rsidR="00291A7D">
        <w:t xml:space="preserve"> is currently </w:t>
      </w:r>
      <w:r w:rsidR="0009143F">
        <w:t>going through the public consultation process</w:t>
      </w:r>
      <w:r w:rsidR="00291A7D">
        <w:t xml:space="preserve">. </w:t>
      </w:r>
      <w:r w:rsidR="0009143F">
        <w:t>So far,</w:t>
      </w:r>
      <w:r w:rsidR="00291A7D">
        <w:t xml:space="preserve"> only </w:t>
      </w:r>
      <w:r w:rsidR="002D5C9E">
        <w:t>those of Georgia and Ukraine</w:t>
      </w:r>
      <w:r w:rsidR="005D2F0F">
        <w:t xml:space="preserve"> </w:t>
      </w:r>
      <w:r w:rsidR="00B46073">
        <w:t>define</w:t>
      </w:r>
      <w:r w:rsidR="002D5C9E">
        <w:t xml:space="preserve"> specific targets</w:t>
      </w:r>
      <w:r w:rsidR="00291A7D">
        <w:t xml:space="preserve"> and related KPIs</w:t>
      </w:r>
      <w:r w:rsidR="00B46073">
        <w:t>.</w:t>
      </w:r>
    </w:p>
    <w:p w14:paraId="5C0EE73E" w14:textId="03F08BF1" w:rsidR="009F3B6D" w:rsidRDefault="00851720" w:rsidP="009F3B6D">
      <w:pPr>
        <w:pStyle w:val="Para0"/>
      </w:pPr>
      <w:r>
        <w:t>Most</w:t>
      </w:r>
      <w:r w:rsidR="009F3B6D" w:rsidRPr="00306DC9">
        <w:t xml:space="preserve"> IPAs </w:t>
      </w:r>
      <w:r w:rsidR="008F0531">
        <w:t>favour</w:t>
      </w:r>
      <w:r w:rsidR="009F3B6D" w:rsidRPr="00306DC9">
        <w:t xml:space="preserve"> some investments over others in performing their functions</w:t>
      </w:r>
      <w:r w:rsidR="009F3B6D">
        <w:t>, even without a clear investment promotion strategy in place</w:t>
      </w:r>
      <w:r w:rsidR="009F3B6D" w:rsidRPr="00306DC9">
        <w:t xml:space="preserve">. </w:t>
      </w:r>
      <w:r w:rsidR="000F788C">
        <w:t>I</w:t>
      </w:r>
      <w:r w:rsidR="000F788C" w:rsidRPr="00306DC9">
        <w:t xml:space="preserve">n the OECD, </w:t>
      </w:r>
      <w:r w:rsidR="000F788C">
        <w:t xml:space="preserve">all agencies prioritise certain sectors or countries, three quarters prioritise specific investment projects and over </w:t>
      </w:r>
      <w:r w:rsidR="005D2F0F">
        <w:t>a</w:t>
      </w:r>
      <w:r w:rsidR="000F788C">
        <w:t xml:space="preserve"> third specific investors; but </w:t>
      </w:r>
      <w:r w:rsidR="000F788C" w:rsidRPr="00306DC9">
        <w:t>only 41%</w:t>
      </w:r>
      <w:r w:rsidR="000F788C">
        <w:t xml:space="preserve"> of IPAs</w:t>
      </w:r>
      <w:r w:rsidR="000F788C" w:rsidRPr="00306DC9">
        <w:t xml:space="preserve"> combine these four layers of priorities</w:t>
      </w:r>
      <w:r w:rsidR="000F788C">
        <w:t xml:space="preserve"> (OECD, 2018a). </w:t>
      </w:r>
      <w:r w:rsidR="009F3B6D" w:rsidRPr="00306DC9">
        <w:t>According to the OECD</w:t>
      </w:r>
      <w:r w:rsidR="009F3B6D">
        <w:t>-IDB</w:t>
      </w:r>
      <w:r w:rsidR="009F3B6D" w:rsidRPr="00306DC9">
        <w:t xml:space="preserve"> survey</w:t>
      </w:r>
      <w:r w:rsidR="009F3B6D">
        <w:t>,</w:t>
      </w:r>
      <w:r w:rsidR="00E44F30">
        <w:t xml:space="preserve"> </w:t>
      </w:r>
      <w:r>
        <w:t>the IPAs of Azerbaijan and Belarus do not prioritise investments</w:t>
      </w:r>
      <w:r w:rsidR="000C48C9">
        <w:t xml:space="preserve"> </w:t>
      </w:r>
      <w:r w:rsidR="000F788C">
        <w:t xml:space="preserve">along </w:t>
      </w:r>
      <w:r w:rsidR="005D2F0F">
        <w:t xml:space="preserve">any of </w:t>
      </w:r>
      <w:r w:rsidR="000F788C">
        <w:t>these four dimensions, although informally Belarus’s NAIP favour investments with high innovation p</w:t>
      </w:r>
      <w:r w:rsidR="008F0531">
        <w:t>otential</w:t>
      </w:r>
      <w:r w:rsidR="00273114">
        <w:t xml:space="preserve"> and those in</w:t>
      </w:r>
      <w:r w:rsidR="000F788C">
        <w:t xml:space="preserve"> logistics,</w:t>
      </w:r>
      <w:r w:rsidR="005D2F0F">
        <w:t xml:space="preserve"> given the</w:t>
      </w:r>
      <w:r w:rsidR="000F788C">
        <w:t xml:space="preserve"> strategic position of Belarus saddled between two large economic blocs. T</w:t>
      </w:r>
      <w:r w:rsidR="00E44F30">
        <w:t>he</w:t>
      </w:r>
      <w:r w:rsidR="009F3B6D" w:rsidRPr="00306DC9">
        <w:t xml:space="preserve"> </w:t>
      </w:r>
      <w:r w:rsidR="009F3B6D">
        <w:t xml:space="preserve">IPA </w:t>
      </w:r>
      <w:r w:rsidR="00E44F30">
        <w:t xml:space="preserve">of Georgia </w:t>
      </w:r>
      <w:r w:rsidR="00ED3810">
        <w:t xml:space="preserve">targets </w:t>
      </w:r>
      <w:r w:rsidR="00273114">
        <w:t>both</w:t>
      </w:r>
      <w:r w:rsidR="00ED3810">
        <w:t xml:space="preserve"> sectors and projects,</w:t>
      </w:r>
      <w:r w:rsidR="0021265D">
        <w:t xml:space="preserve"> but no specific countries or investors, while</w:t>
      </w:r>
      <w:r w:rsidR="00E44F30">
        <w:t xml:space="preserve"> Ukraine</w:t>
      </w:r>
      <w:r w:rsidR="00ED3810">
        <w:t>’s IPA</w:t>
      </w:r>
      <w:r w:rsidR="00E44F30">
        <w:t xml:space="preserve"> </w:t>
      </w:r>
      <w:r w:rsidR="009F3B6D">
        <w:t>ha</w:t>
      </w:r>
      <w:r w:rsidR="00ED3810">
        <w:t>s</w:t>
      </w:r>
      <w:r w:rsidR="000D45D3">
        <w:t xml:space="preserve"> </w:t>
      </w:r>
      <w:r w:rsidR="00ED3810">
        <w:t>the most</w:t>
      </w:r>
      <w:r w:rsidR="000D45D3">
        <w:t xml:space="preserve"> </w:t>
      </w:r>
      <w:r w:rsidR="009F3B6D" w:rsidRPr="00306DC9">
        <w:t xml:space="preserve">focused </w:t>
      </w:r>
      <w:r w:rsidR="009F3B6D">
        <w:t xml:space="preserve">investment promotion </w:t>
      </w:r>
      <w:r w:rsidR="00ED3810">
        <w:t>approach</w:t>
      </w:r>
      <w:r w:rsidR="009F3B6D" w:rsidRPr="00306DC9">
        <w:t xml:space="preserve">, </w:t>
      </w:r>
      <w:r>
        <w:t>targeting</w:t>
      </w:r>
      <w:r w:rsidR="009F3B6D" w:rsidRPr="00306DC9">
        <w:t xml:space="preserve"> sectors, countries, projects and investors in </w:t>
      </w:r>
      <w:r>
        <w:t>their</w:t>
      </w:r>
      <w:r w:rsidR="002143BA">
        <w:t xml:space="preserve"> FDI attraction efforts.</w:t>
      </w:r>
      <w:r w:rsidR="0021265D">
        <w:t xml:space="preserve"> At the same time, the sectors targeted by Georgia are somewhat narrower, </w:t>
      </w:r>
      <w:r w:rsidR="009A5424">
        <w:t xml:space="preserve">reflecting the country’s comparative </w:t>
      </w:r>
      <w:r w:rsidR="009A5424">
        <w:lastRenderedPageBreak/>
        <w:t xml:space="preserve">advantages and strategic priorities, </w:t>
      </w:r>
      <w:r w:rsidR="0021265D">
        <w:t xml:space="preserve">whereas Ukraine targets </w:t>
      </w:r>
      <w:r w:rsidR="009A5424">
        <w:t>manufacturing</w:t>
      </w:r>
      <w:r w:rsidR="00871600">
        <w:t xml:space="preserve"> more broadly, with an emphasis on high-tech or innovative projects</w:t>
      </w:r>
      <w:r w:rsidR="009A5424">
        <w:t xml:space="preserve"> (Table 3.3).</w:t>
      </w:r>
    </w:p>
    <w:p w14:paraId="2292271B" w14:textId="77777777" w:rsidR="00C72AD0" w:rsidRDefault="00C72AD0" w:rsidP="00C72AD0">
      <w:pPr>
        <w:pStyle w:val="Para0"/>
      </w:pPr>
      <w:r>
        <w:t>Prioritising sectors, countries, projects and investors should be conducted according to a set of well-defined criteria in line with national development objectives. The way Ukraine prioritises investment projects, for example, reflects its desire to maximise the potential impact of FDI on society, including criteria such as the impact of investment projects on jobs, wages, exports, innovation and regional development (Table 3.4).</w:t>
      </w:r>
    </w:p>
    <w:p w14:paraId="4834B076" w14:textId="30EE66D4" w:rsidR="00951389" w:rsidRDefault="00951389" w:rsidP="007016EB">
      <w:pPr>
        <w:pStyle w:val="Caption"/>
      </w:pPr>
      <w:bookmarkStart w:id="78" w:name="_Toc31983262"/>
      <w:bookmarkStart w:id="79" w:name="_Toc33443313"/>
      <w:r>
        <w:t xml:space="preserve">Table </w:t>
      </w:r>
      <w:fldSimple w:instr=" STYLEREF 1 \s ">
        <w:r w:rsidR="00DC4D16">
          <w:rPr>
            <w:noProof/>
          </w:rPr>
          <w:t>3</w:t>
        </w:r>
      </w:fldSimple>
      <w:r>
        <w:t>.</w:t>
      </w:r>
      <w:r>
        <w:rPr>
          <w:noProof/>
        </w:rPr>
        <w:fldChar w:fldCharType="begin"/>
      </w:r>
      <w:r>
        <w:rPr>
          <w:noProof/>
        </w:rPr>
        <w:instrText xml:space="preserve"> SEQ Table \* ARABIC \s 1 </w:instrText>
      </w:r>
      <w:r>
        <w:rPr>
          <w:noProof/>
        </w:rPr>
        <w:fldChar w:fldCharType="separate"/>
      </w:r>
      <w:r w:rsidR="00DC4D16">
        <w:rPr>
          <w:noProof/>
        </w:rPr>
        <w:t>3</w:t>
      </w:r>
      <w:r>
        <w:rPr>
          <w:noProof/>
        </w:rPr>
        <w:fldChar w:fldCharType="end"/>
      </w:r>
      <w:r>
        <w:t>. Priority countries and sectors</w:t>
      </w:r>
      <w:bookmarkEnd w:id="78"/>
      <w:bookmarkEnd w:id="79"/>
    </w:p>
    <w:tbl>
      <w:tblPr>
        <w:tblStyle w:val="OECD"/>
        <w:tblW w:w="7938" w:type="dxa"/>
        <w:tblLook w:val="0420" w:firstRow="1" w:lastRow="0" w:firstColumn="0" w:lastColumn="0" w:noHBand="0" w:noVBand="1"/>
      </w:tblPr>
      <w:tblGrid>
        <w:gridCol w:w="1587"/>
        <w:gridCol w:w="3175"/>
        <w:gridCol w:w="3176"/>
      </w:tblGrid>
      <w:tr w:rsidR="00951389" w:rsidRPr="00454399" w14:paraId="1738BDE2" w14:textId="77777777" w:rsidTr="007016EB">
        <w:trPr>
          <w:cnfStyle w:val="100000000000" w:firstRow="1" w:lastRow="0" w:firstColumn="0" w:lastColumn="0" w:oddVBand="0" w:evenVBand="0" w:oddHBand="0" w:evenHBand="0" w:firstRowFirstColumn="0" w:firstRowLastColumn="0" w:lastRowFirstColumn="0" w:lastRowLastColumn="0"/>
        </w:trPr>
        <w:tc>
          <w:tcPr>
            <w:tcW w:w="1587" w:type="dxa"/>
            <w:tcBorders>
              <w:bottom w:val="single" w:sz="4" w:space="0" w:color="auto"/>
            </w:tcBorders>
          </w:tcPr>
          <w:p w14:paraId="66C5D204" w14:textId="77777777" w:rsidR="00951389" w:rsidRPr="00454399" w:rsidRDefault="00951389" w:rsidP="00951389">
            <w:pPr>
              <w:pStyle w:val="TableColumn"/>
              <w:jc w:val="left"/>
            </w:pPr>
          </w:p>
        </w:tc>
        <w:tc>
          <w:tcPr>
            <w:tcW w:w="3175" w:type="dxa"/>
            <w:tcBorders>
              <w:bottom w:val="single" w:sz="4" w:space="0" w:color="auto"/>
            </w:tcBorders>
          </w:tcPr>
          <w:p w14:paraId="5C8AB3D6" w14:textId="74131512" w:rsidR="00951389" w:rsidRPr="00454399" w:rsidRDefault="00951389" w:rsidP="007016EB">
            <w:pPr>
              <w:pStyle w:val="TableColumn"/>
            </w:pPr>
            <w:r>
              <w:t>Georgia</w:t>
            </w:r>
          </w:p>
        </w:tc>
        <w:tc>
          <w:tcPr>
            <w:tcW w:w="3176" w:type="dxa"/>
            <w:tcBorders>
              <w:bottom w:val="single" w:sz="4" w:space="0" w:color="auto"/>
            </w:tcBorders>
          </w:tcPr>
          <w:p w14:paraId="417DEEA3" w14:textId="5155B93C" w:rsidR="00951389" w:rsidRPr="00454399" w:rsidRDefault="00951389" w:rsidP="007016EB">
            <w:pPr>
              <w:pStyle w:val="TableColumn"/>
            </w:pPr>
            <w:r>
              <w:t>Ukraine</w:t>
            </w:r>
          </w:p>
        </w:tc>
      </w:tr>
      <w:tr w:rsidR="00951389" w:rsidRPr="00454399" w14:paraId="429B6FB5" w14:textId="77777777" w:rsidTr="007016EB">
        <w:trPr>
          <w:cnfStyle w:val="000000100000" w:firstRow="0" w:lastRow="0" w:firstColumn="0" w:lastColumn="0" w:oddVBand="0" w:evenVBand="0" w:oddHBand="1" w:evenHBand="0" w:firstRowFirstColumn="0" w:firstRowLastColumn="0" w:lastRowFirstColumn="0" w:lastRowLastColumn="0"/>
        </w:trPr>
        <w:tc>
          <w:tcPr>
            <w:tcW w:w="1587" w:type="dxa"/>
            <w:tcBorders>
              <w:top w:val="single" w:sz="4" w:space="0" w:color="auto"/>
            </w:tcBorders>
          </w:tcPr>
          <w:p w14:paraId="056CDFAB" w14:textId="0FB137FA" w:rsidR="00951389" w:rsidRPr="00454399" w:rsidRDefault="00951389" w:rsidP="00951389">
            <w:pPr>
              <w:pStyle w:val="TableRow"/>
            </w:pPr>
            <w:r>
              <w:t>Priority countries</w:t>
            </w:r>
          </w:p>
        </w:tc>
        <w:tc>
          <w:tcPr>
            <w:tcW w:w="3175" w:type="dxa"/>
            <w:tcBorders>
              <w:top w:val="single" w:sz="4" w:space="0" w:color="auto"/>
            </w:tcBorders>
          </w:tcPr>
          <w:p w14:paraId="2B608A30" w14:textId="77777777" w:rsidR="00951389" w:rsidRPr="00454399" w:rsidRDefault="00951389" w:rsidP="00951389">
            <w:pPr>
              <w:pStyle w:val="TableCell"/>
              <w:jc w:val="center"/>
            </w:pPr>
          </w:p>
        </w:tc>
        <w:tc>
          <w:tcPr>
            <w:tcW w:w="3176" w:type="dxa"/>
            <w:tcBorders>
              <w:top w:val="single" w:sz="4" w:space="0" w:color="auto"/>
            </w:tcBorders>
          </w:tcPr>
          <w:p w14:paraId="34232050" w14:textId="132D09EC" w:rsidR="00951389" w:rsidRPr="00454399" w:rsidRDefault="00951389" w:rsidP="00951389">
            <w:pPr>
              <w:pStyle w:val="TableCell"/>
              <w:jc w:val="center"/>
            </w:pPr>
            <w:r w:rsidRPr="00951389">
              <w:t>Germany, France, USA, Qatar, UAE, Saudi Arabia, Norway, Sweden, Denmark</w:t>
            </w:r>
          </w:p>
        </w:tc>
      </w:tr>
      <w:tr w:rsidR="00951389" w:rsidRPr="00454399" w14:paraId="3784CA71" w14:textId="77777777" w:rsidTr="007016EB">
        <w:trPr>
          <w:cnfStyle w:val="000000010000" w:firstRow="0" w:lastRow="0" w:firstColumn="0" w:lastColumn="0" w:oddVBand="0" w:evenVBand="0" w:oddHBand="0" w:evenHBand="1" w:firstRowFirstColumn="0" w:firstRowLastColumn="0" w:lastRowFirstColumn="0" w:lastRowLastColumn="0"/>
        </w:trPr>
        <w:tc>
          <w:tcPr>
            <w:tcW w:w="1587" w:type="dxa"/>
          </w:tcPr>
          <w:p w14:paraId="47487D83" w14:textId="58BE1BF6" w:rsidR="00951389" w:rsidRPr="00454399" w:rsidRDefault="00951389" w:rsidP="00951389">
            <w:pPr>
              <w:pStyle w:val="TableRow"/>
            </w:pPr>
            <w:r>
              <w:t>Priority sectors</w:t>
            </w:r>
          </w:p>
        </w:tc>
        <w:tc>
          <w:tcPr>
            <w:tcW w:w="3175" w:type="dxa"/>
          </w:tcPr>
          <w:p w14:paraId="0A4A8003" w14:textId="555B606E" w:rsidR="00951389" w:rsidRPr="00454399" w:rsidRDefault="0021265D" w:rsidP="0021265D">
            <w:pPr>
              <w:pStyle w:val="TableCell"/>
              <w:jc w:val="center"/>
            </w:pPr>
            <w:r>
              <w:t xml:space="preserve">Hospitality, BPO, </w:t>
            </w:r>
            <w:r w:rsidR="00951389" w:rsidRPr="00951389">
              <w:t>IT, garments and footwear, auto and aircraft equipment, electronics</w:t>
            </w:r>
          </w:p>
        </w:tc>
        <w:tc>
          <w:tcPr>
            <w:tcW w:w="3176" w:type="dxa"/>
          </w:tcPr>
          <w:p w14:paraId="77E21677" w14:textId="40253226" w:rsidR="00951389" w:rsidRPr="00454399" w:rsidRDefault="00951389" w:rsidP="00951389">
            <w:pPr>
              <w:pStyle w:val="TableCell"/>
              <w:jc w:val="center"/>
            </w:pPr>
            <w:r w:rsidRPr="00951389">
              <w:t>Agribusiness, manufacturing, energy, infrastructure and innovation technology</w:t>
            </w:r>
          </w:p>
        </w:tc>
      </w:tr>
    </w:tbl>
    <w:p w14:paraId="3709BF05" w14:textId="139F9E82" w:rsidR="00951389" w:rsidRPr="00454399" w:rsidRDefault="00951389" w:rsidP="007016EB">
      <w:pPr>
        <w:pStyle w:val="Sourcenotes"/>
      </w:pPr>
      <w:r w:rsidRPr="00454399">
        <w:rPr>
          <w:i/>
        </w:rPr>
        <w:t>Source</w:t>
      </w:r>
      <w:r>
        <w:t>: OECD-IDB survey of Investment Promotion Agencies (2019).</w:t>
      </w:r>
    </w:p>
    <w:p w14:paraId="5F3A57BF" w14:textId="54232450" w:rsidR="00EA76E8" w:rsidRDefault="00EA76E8" w:rsidP="00EA76E8">
      <w:pPr>
        <w:pStyle w:val="Caption"/>
      </w:pPr>
      <w:bookmarkStart w:id="80" w:name="_Toc31983263"/>
      <w:bookmarkStart w:id="81" w:name="_Toc33443314"/>
      <w:r>
        <w:t xml:space="preserve">Table </w:t>
      </w:r>
      <w:fldSimple w:instr=" STYLEREF 1 \s ">
        <w:r w:rsidR="00DC4D16">
          <w:rPr>
            <w:noProof/>
          </w:rPr>
          <w:t>3</w:t>
        </w:r>
      </w:fldSimple>
      <w:r>
        <w:t>.</w:t>
      </w:r>
      <w:r>
        <w:rPr>
          <w:noProof/>
        </w:rPr>
        <w:fldChar w:fldCharType="begin"/>
      </w:r>
      <w:r>
        <w:rPr>
          <w:noProof/>
        </w:rPr>
        <w:instrText xml:space="preserve"> SEQ Table \* ARABIC \s 1 </w:instrText>
      </w:r>
      <w:r>
        <w:rPr>
          <w:noProof/>
        </w:rPr>
        <w:fldChar w:fldCharType="separate"/>
      </w:r>
      <w:r w:rsidR="00DC4D16">
        <w:rPr>
          <w:noProof/>
        </w:rPr>
        <w:t>4</w:t>
      </w:r>
      <w:r>
        <w:rPr>
          <w:noProof/>
        </w:rPr>
        <w:fldChar w:fldCharType="end"/>
      </w:r>
      <w:r>
        <w:t>. Criteria used for prioritisation of investment projects</w:t>
      </w:r>
      <w:bookmarkEnd w:id="80"/>
      <w:bookmarkEnd w:id="81"/>
    </w:p>
    <w:tbl>
      <w:tblPr>
        <w:tblStyle w:val="OECD"/>
        <w:tblW w:w="7938" w:type="dxa"/>
        <w:tblLook w:val="0420" w:firstRow="1" w:lastRow="0" w:firstColumn="0" w:lastColumn="0" w:noHBand="0" w:noVBand="1"/>
      </w:tblPr>
      <w:tblGrid>
        <w:gridCol w:w="2268"/>
        <w:gridCol w:w="708"/>
        <w:gridCol w:w="709"/>
        <w:gridCol w:w="709"/>
        <w:gridCol w:w="709"/>
        <w:gridCol w:w="708"/>
        <w:gridCol w:w="709"/>
        <w:gridCol w:w="709"/>
        <w:gridCol w:w="709"/>
      </w:tblGrid>
      <w:tr w:rsidR="00585366" w:rsidRPr="00454399" w14:paraId="504BFE98" w14:textId="77777777" w:rsidTr="00331DF9">
        <w:trPr>
          <w:cnfStyle w:val="100000000000" w:firstRow="1" w:lastRow="0" w:firstColumn="0" w:lastColumn="0" w:oddVBand="0" w:evenVBand="0" w:oddHBand="0" w:evenHBand="0" w:firstRowFirstColumn="0" w:firstRowLastColumn="0" w:lastRowFirstColumn="0" w:lastRowLastColumn="0"/>
        </w:trPr>
        <w:tc>
          <w:tcPr>
            <w:tcW w:w="2268" w:type="dxa"/>
            <w:tcBorders>
              <w:bottom w:val="single" w:sz="4" w:space="0" w:color="auto"/>
            </w:tcBorders>
          </w:tcPr>
          <w:p w14:paraId="5C45199F" w14:textId="77777777" w:rsidR="00585366" w:rsidRPr="00454399" w:rsidRDefault="005D2F0F" w:rsidP="005D2F0F">
            <w:pPr>
              <w:pStyle w:val="TableColumn"/>
            </w:pPr>
            <w:r>
              <w:t>Project c</w:t>
            </w:r>
            <w:r w:rsidR="00585366">
              <w:t>riteria</w:t>
            </w:r>
          </w:p>
        </w:tc>
        <w:tc>
          <w:tcPr>
            <w:tcW w:w="708" w:type="dxa"/>
            <w:tcBorders>
              <w:bottom w:val="single" w:sz="4" w:space="0" w:color="auto"/>
            </w:tcBorders>
            <w:vAlign w:val="bottom"/>
          </w:tcPr>
          <w:p w14:paraId="61F4BD6E" w14:textId="77777777" w:rsidR="00585366" w:rsidRPr="00B30BDA" w:rsidRDefault="00585366" w:rsidP="00585366">
            <w:pPr>
              <w:pStyle w:val="TableCell"/>
              <w:jc w:val="center"/>
              <w:rPr>
                <w:b/>
                <w:color w:val="5781B3"/>
              </w:rPr>
            </w:pPr>
            <w:r w:rsidRPr="00B30BDA">
              <w:rPr>
                <w:b/>
                <w:color w:val="5781B3"/>
              </w:rPr>
              <w:t>GEO</w:t>
            </w:r>
          </w:p>
        </w:tc>
        <w:tc>
          <w:tcPr>
            <w:tcW w:w="709" w:type="dxa"/>
            <w:tcBorders>
              <w:bottom w:val="single" w:sz="4" w:space="0" w:color="auto"/>
            </w:tcBorders>
            <w:vAlign w:val="bottom"/>
          </w:tcPr>
          <w:p w14:paraId="0514088B" w14:textId="77777777" w:rsidR="00585366" w:rsidRPr="00B30BDA" w:rsidRDefault="00585366" w:rsidP="00585366">
            <w:pPr>
              <w:pStyle w:val="TableCell"/>
              <w:jc w:val="center"/>
              <w:rPr>
                <w:b/>
                <w:color w:val="5781B3"/>
              </w:rPr>
            </w:pPr>
            <w:r w:rsidRPr="00B30BDA">
              <w:rPr>
                <w:b/>
                <w:color w:val="5781B3"/>
              </w:rPr>
              <w:t>UKR</w:t>
            </w:r>
          </w:p>
        </w:tc>
        <w:tc>
          <w:tcPr>
            <w:tcW w:w="709" w:type="dxa"/>
            <w:tcBorders>
              <w:bottom w:val="single" w:sz="4" w:space="0" w:color="auto"/>
            </w:tcBorders>
            <w:vAlign w:val="bottom"/>
          </w:tcPr>
          <w:p w14:paraId="6C987F54" w14:textId="77777777" w:rsidR="00585366" w:rsidRDefault="00585366" w:rsidP="00585366">
            <w:pPr>
              <w:pStyle w:val="TableCell"/>
              <w:jc w:val="center"/>
            </w:pPr>
            <w:r>
              <w:t>EGY</w:t>
            </w:r>
          </w:p>
        </w:tc>
        <w:tc>
          <w:tcPr>
            <w:tcW w:w="709" w:type="dxa"/>
            <w:tcBorders>
              <w:bottom w:val="single" w:sz="4" w:space="0" w:color="auto"/>
            </w:tcBorders>
            <w:vAlign w:val="bottom"/>
          </w:tcPr>
          <w:p w14:paraId="3159BA9E" w14:textId="77777777" w:rsidR="00585366" w:rsidRDefault="00585366" w:rsidP="00585366">
            <w:pPr>
              <w:pStyle w:val="TableCell"/>
              <w:jc w:val="center"/>
            </w:pPr>
            <w:r>
              <w:t>IRE</w:t>
            </w:r>
          </w:p>
        </w:tc>
        <w:tc>
          <w:tcPr>
            <w:tcW w:w="708" w:type="dxa"/>
            <w:tcBorders>
              <w:bottom w:val="single" w:sz="4" w:space="0" w:color="auto"/>
            </w:tcBorders>
            <w:vAlign w:val="bottom"/>
          </w:tcPr>
          <w:p w14:paraId="5A59180A" w14:textId="77777777" w:rsidR="00585366" w:rsidRDefault="00585366" w:rsidP="00585366">
            <w:pPr>
              <w:pStyle w:val="TableCell"/>
              <w:jc w:val="center"/>
            </w:pPr>
            <w:r>
              <w:t>KAZ</w:t>
            </w:r>
          </w:p>
        </w:tc>
        <w:tc>
          <w:tcPr>
            <w:tcW w:w="709" w:type="dxa"/>
            <w:tcBorders>
              <w:bottom w:val="single" w:sz="4" w:space="0" w:color="auto"/>
            </w:tcBorders>
            <w:vAlign w:val="bottom"/>
          </w:tcPr>
          <w:p w14:paraId="26FC0CE7" w14:textId="77777777" w:rsidR="00585366" w:rsidRDefault="00585366" w:rsidP="00585366">
            <w:pPr>
              <w:pStyle w:val="TableCell"/>
              <w:jc w:val="center"/>
            </w:pPr>
            <w:r>
              <w:t>KOR</w:t>
            </w:r>
          </w:p>
        </w:tc>
        <w:tc>
          <w:tcPr>
            <w:tcW w:w="709" w:type="dxa"/>
            <w:tcBorders>
              <w:bottom w:val="single" w:sz="4" w:space="0" w:color="auto"/>
            </w:tcBorders>
            <w:vAlign w:val="bottom"/>
          </w:tcPr>
          <w:p w14:paraId="2E87C885" w14:textId="77777777" w:rsidR="00585366" w:rsidRDefault="00585366" w:rsidP="00585366">
            <w:pPr>
              <w:pStyle w:val="TableCell"/>
              <w:jc w:val="center"/>
            </w:pPr>
            <w:r>
              <w:t>MAR</w:t>
            </w:r>
          </w:p>
        </w:tc>
        <w:tc>
          <w:tcPr>
            <w:tcW w:w="709" w:type="dxa"/>
            <w:tcBorders>
              <w:bottom w:val="single" w:sz="4" w:space="0" w:color="auto"/>
            </w:tcBorders>
            <w:vAlign w:val="bottom"/>
          </w:tcPr>
          <w:p w14:paraId="2A245E8D" w14:textId="77777777" w:rsidR="00585366" w:rsidRDefault="00585366" w:rsidP="00585366">
            <w:pPr>
              <w:pStyle w:val="TableCell"/>
              <w:jc w:val="center"/>
            </w:pPr>
            <w:r>
              <w:t>TUR</w:t>
            </w:r>
          </w:p>
        </w:tc>
      </w:tr>
      <w:tr w:rsidR="00585366" w:rsidRPr="00454399" w14:paraId="78E15E7A"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auto"/>
            </w:tcBorders>
            <w:vAlign w:val="center"/>
          </w:tcPr>
          <w:p w14:paraId="0E72EFFA"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Priority Sector</w:t>
            </w:r>
          </w:p>
        </w:tc>
        <w:tc>
          <w:tcPr>
            <w:tcW w:w="708" w:type="dxa"/>
            <w:tcBorders>
              <w:top w:val="single" w:sz="4" w:space="0" w:color="auto"/>
            </w:tcBorders>
            <w:vAlign w:val="bottom"/>
          </w:tcPr>
          <w:p w14:paraId="6A6D0CB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tcBorders>
              <w:top w:val="single" w:sz="4" w:space="0" w:color="auto"/>
            </w:tcBorders>
            <w:vAlign w:val="bottom"/>
          </w:tcPr>
          <w:p w14:paraId="748E43A3"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tcBorders>
              <w:top w:val="single" w:sz="4" w:space="0" w:color="auto"/>
            </w:tcBorders>
            <w:vAlign w:val="bottom"/>
          </w:tcPr>
          <w:p w14:paraId="10C5BF07" w14:textId="77777777" w:rsidR="00585366" w:rsidRDefault="00585366" w:rsidP="00585366">
            <w:pPr>
              <w:pStyle w:val="TableCell"/>
              <w:jc w:val="center"/>
            </w:pPr>
            <w:r>
              <w:rPr>
                <w:rFonts w:ascii="Wingdings" w:hAnsi="Wingdings"/>
              </w:rPr>
              <w:sym w:font="Wingdings" w:char="F0FC"/>
            </w:r>
          </w:p>
        </w:tc>
        <w:tc>
          <w:tcPr>
            <w:tcW w:w="709" w:type="dxa"/>
            <w:tcBorders>
              <w:top w:val="single" w:sz="4" w:space="0" w:color="auto"/>
            </w:tcBorders>
            <w:vAlign w:val="bottom"/>
          </w:tcPr>
          <w:p w14:paraId="0D3E17EF" w14:textId="77777777" w:rsidR="00585366" w:rsidRDefault="00585366" w:rsidP="00585366">
            <w:pPr>
              <w:pStyle w:val="TableCell"/>
              <w:jc w:val="center"/>
            </w:pPr>
            <w:r>
              <w:rPr>
                <w:rFonts w:ascii="Wingdings" w:hAnsi="Wingdings"/>
              </w:rPr>
              <w:sym w:font="Wingdings" w:char="F0FC"/>
            </w:r>
          </w:p>
        </w:tc>
        <w:tc>
          <w:tcPr>
            <w:tcW w:w="708" w:type="dxa"/>
            <w:tcBorders>
              <w:top w:val="single" w:sz="4" w:space="0" w:color="auto"/>
            </w:tcBorders>
            <w:vAlign w:val="bottom"/>
          </w:tcPr>
          <w:p w14:paraId="2228DBA1" w14:textId="77777777" w:rsidR="00585366" w:rsidRDefault="00585366" w:rsidP="00585366">
            <w:pPr>
              <w:pStyle w:val="TableCell"/>
              <w:jc w:val="center"/>
            </w:pPr>
            <w:r>
              <w:rPr>
                <w:rFonts w:ascii="Wingdings" w:hAnsi="Wingdings"/>
              </w:rPr>
              <w:sym w:font="Wingdings" w:char="F0FC"/>
            </w:r>
          </w:p>
        </w:tc>
        <w:tc>
          <w:tcPr>
            <w:tcW w:w="709" w:type="dxa"/>
            <w:tcBorders>
              <w:top w:val="single" w:sz="4" w:space="0" w:color="auto"/>
            </w:tcBorders>
            <w:vAlign w:val="bottom"/>
          </w:tcPr>
          <w:p w14:paraId="147E84FC" w14:textId="77777777" w:rsidR="00585366" w:rsidRDefault="00585366" w:rsidP="00585366">
            <w:pPr>
              <w:pStyle w:val="TableCell"/>
              <w:jc w:val="center"/>
            </w:pPr>
            <w:r>
              <w:rPr>
                <w:rFonts w:ascii="Wingdings" w:hAnsi="Wingdings"/>
              </w:rPr>
              <w:sym w:font="Wingdings" w:char="F0FC"/>
            </w:r>
          </w:p>
        </w:tc>
        <w:tc>
          <w:tcPr>
            <w:tcW w:w="709" w:type="dxa"/>
            <w:tcBorders>
              <w:top w:val="single" w:sz="4" w:space="0" w:color="auto"/>
            </w:tcBorders>
            <w:vAlign w:val="bottom"/>
          </w:tcPr>
          <w:p w14:paraId="54C074B0" w14:textId="77777777" w:rsidR="00585366" w:rsidRDefault="00585366" w:rsidP="00585366">
            <w:pPr>
              <w:pStyle w:val="TableCell"/>
              <w:jc w:val="center"/>
            </w:pPr>
            <w:r>
              <w:rPr>
                <w:rFonts w:ascii="Wingdings" w:hAnsi="Wingdings"/>
              </w:rPr>
              <w:sym w:font="Wingdings" w:char="F0FC"/>
            </w:r>
          </w:p>
        </w:tc>
        <w:tc>
          <w:tcPr>
            <w:tcW w:w="709" w:type="dxa"/>
            <w:tcBorders>
              <w:top w:val="single" w:sz="4" w:space="0" w:color="auto"/>
            </w:tcBorders>
            <w:vAlign w:val="bottom"/>
          </w:tcPr>
          <w:p w14:paraId="7649662A" w14:textId="77777777" w:rsidR="00585366" w:rsidRDefault="00585366" w:rsidP="00585366">
            <w:pPr>
              <w:pStyle w:val="TableCell"/>
              <w:jc w:val="center"/>
            </w:pPr>
            <w:r>
              <w:rPr>
                <w:rFonts w:ascii="Wingdings" w:hAnsi="Wingdings"/>
              </w:rPr>
              <w:sym w:font="Wingdings" w:char="F0FC"/>
            </w:r>
          </w:p>
        </w:tc>
      </w:tr>
      <w:tr w:rsidR="00585366" w:rsidRPr="00454399" w14:paraId="3EA07552"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78F26D05"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Priority Country of Origin</w:t>
            </w:r>
          </w:p>
        </w:tc>
        <w:tc>
          <w:tcPr>
            <w:tcW w:w="708" w:type="dxa"/>
            <w:vAlign w:val="bottom"/>
          </w:tcPr>
          <w:p w14:paraId="074D5F04" w14:textId="77777777" w:rsidR="00585366" w:rsidRPr="00B30BDA" w:rsidRDefault="00585366" w:rsidP="00585366">
            <w:pPr>
              <w:pStyle w:val="TableCell"/>
              <w:jc w:val="center"/>
              <w:rPr>
                <w:b/>
                <w:color w:val="5781B3"/>
              </w:rPr>
            </w:pPr>
          </w:p>
        </w:tc>
        <w:tc>
          <w:tcPr>
            <w:tcW w:w="709" w:type="dxa"/>
            <w:vAlign w:val="bottom"/>
          </w:tcPr>
          <w:p w14:paraId="3E42DC38"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60719ED" w14:textId="77777777" w:rsidR="00585366" w:rsidRDefault="00585366" w:rsidP="00585366">
            <w:pPr>
              <w:pStyle w:val="TableCell"/>
              <w:jc w:val="center"/>
            </w:pPr>
          </w:p>
        </w:tc>
        <w:tc>
          <w:tcPr>
            <w:tcW w:w="709" w:type="dxa"/>
            <w:vAlign w:val="bottom"/>
          </w:tcPr>
          <w:p w14:paraId="797A5ACE" w14:textId="77777777" w:rsidR="00585366" w:rsidRDefault="00585366" w:rsidP="00585366">
            <w:pPr>
              <w:pStyle w:val="TableCell"/>
              <w:jc w:val="center"/>
            </w:pPr>
          </w:p>
        </w:tc>
        <w:tc>
          <w:tcPr>
            <w:tcW w:w="708" w:type="dxa"/>
            <w:vAlign w:val="bottom"/>
          </w:tcPr>
          <w:p w14:paraId="65FA9C80" w14:textId="77777777" w:rsidR="00585366" w:rsidRDefault="00585366" w:rsidP="00585366">
            <w:pPr>
              <w:pStyle w:val="TableCell"/>
              <w:jc w:val="center"/>
            </w:pPr>
            <w:r>
              <w:rPr>
                <w:rFonts w:ascii="Wingdings" w:hAnsi="Wingdings"/>
              </w:rPr>
              <w:sym w:font="Wingdings" w:char="F0FC"/>
            </w:r>
          </w:p>
        </w:tc>
        <w:tc>
          <w:tcPr>
            <w:tcW w:w="709" w:type="dxa"/>
            <w:vAlign w:val="bottom"/>
          </w:tcPr>
          <w:p w14:paraId="5A52CA84" w14:textId="77777777" w:rsidR="00585366" w:rsidRDefault="00585366" w:rsidP="00585366">
            <w:pPr>
              <w:pStyle w:val="TableCell"/>
              <w:jc w:val="center"/>
            </w:pPr>
          </w:p>
        </w:tc>
        <w:tc>
          <w:tcPr>
            <w:tcW w:w="709" w:type="dxa"/>
            <w:vAlign w:val="bottom"/>
          </w:tcPr>
          <w:p w14:paraId="353018FF" w14:textId="77777777" w:rsidR="00585366" w:rsidRDefault="00585366" w:rsidP="00585366">
            <w:pPr>
              <w:pStyle w:val="TableCell"/>
              <w:jc w:val="center"/>
            </w:pPr>
          </w:p>
        </w:tc>
        <w:tc>
          <w:tcPr>
            <w:tcW w:w="709" w:type="dxa"/>
            <w:vAlign w:val="bottom"/>
          </w:tcPr>
          <w:p w14:paraId="113BCFD2" w14:textId="77777777" w:rsidR="00585366" w:rsidRDefault="00585366" w:rsidP="00585366">
            <w:pPr>
              <w:pStyle w:val="TableCell"/>
              <w:jc w:val="center"/>
            </w:pPr>
            <w:r>
              <w:rPr>
                <w:rFonts w:ascii="Wingdings" w:hAnsi="Wingdings"/>
              </w:rPr>
              <w:sym w:font="Wingdings" w:char="F0FC"/>
            </w:r>
          </w:p>
        </w:tc>
      </w:tr>
      <w:tr w:rsidR="00585366" w:rsidRPr="00454399" w14:paraId="44B6937C"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2CC18FF3"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Mode of Entry</w:t>
            </w:r>
          </w:p>
        </w:tc>
        <w:tc>
          <w:tcPr>
            <w:tcW w:w="708" w:type="dxa"/>
            <w:vAlign w:val="bottom"/>
          </w:tcPr>
          <w:p w14:paraId="18BC29D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059E8277"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CFFC2C8" w14:textId="77777777" w:rsidR="00585366" w:rsidRDefault="00585366" w:rsidP="00585366">
            <w:pPr>
              <w:pStyle w:val="TableCell"/>
              <w:jc w:val="center"/>
            </w:pPr>
          </w:p>
        </w:tc>
        <w:tc>
          <w:tcPr>
            <w:tcW w:w="709" w:type="dxa"/>
            <w:vAlign w:val="bottom"/>
          </w:tcPr>
          <w:p w14:paraId="6AE04B4B" w14:textId="77777777" w:rsidR="00585366" w:rsidRDefault="00585366" w:rsidP="00585366">
            <w:pPr>
              <w:pStyle w:val="TableCell"/>
              <w:jc w:val="center"/>
            </w:pPr>
          </w:p>
        </w:tc>
        <w:tc>
          <w:tcPr>
            <w:tcW w:w="708" w:type="dxa"/>
            <w:vAlign w:val="bottom"/>
          </w:tcPr>
          <w:p w14:paraId="39B577E1" w14:textId="77777777" w:rsidR="00585366" w:rsidRDefault="00585366" w:rsidP="00585366">
            <w:pPr>
              <w:pStyle w:val="TableCell"/>
              <w:jc w:val="center"/>
            </w:pPr>
          </w:p>
        </w:tc>
        <w:tc>
          <w:tcPr>
            <w:tcW w:w="709" w:type="dxa"/>
            <w:vAlign w:val="bottom"/>
          </w:tcPr>
          <w:p w14:paraId="01C4C17E" w14:textId="77777777" w:rsidR="00585366" w:rsidRDefault="00585366" w:rsidP="00585366">
            <w:pPr>
              <w:pStyle w:val="TableCell"/>
              <w:jc w:val="center"/>
            </w:pPr>
            <w:r>
              <w:rPr>
                <w:rFonts w:ascii="Wingdings" w:hAnsi="Wingdings"/>
              </w:rPr>
              <w:sym w:font="Wingdings" w:char="F0FC"/>
            </w:r>
          </w:p>
        </w:tc>
        <w:tc>
          <w:tcPr>
            <w:tcW w:w="709" w:type="dxa"/>
            <w:vAlign w:val="bottom"/>
          </w:tcPr>
          <w:p w14:paraId="743FAE93" w14:textId="77777777" w:rsidR="00585366" w:rsidRDefault="00585366" w:rsidP="00585366">
            <w:pPr>
              <w:pStyle w:val="TableCell"/>
              <w:jc w:val="center"/>
            </w:pPr>
          </w:p>
        </w:tc>
        <w:tc>
          <w:tcPr>
            <w:tcW w:w="709" w:type="dxa"/>
            <w:vAlign w:val="bottom"/>
          </w:tcPr>
          <w:p w14:paraId="4A193943" w14:textId="77777777" w:rsidR="00585366" w:rsidRDefault="00585366" w:rsidP="00585366">
            <w:pPr>
              <w:pStyle w:val="TableCell"/>
              <w:jc w:val="center"/>
            </w:pPr>
            <w:r>
              <w:rPr>
                <w:rFonts w:ascii="Wingdings" w:hAnsi="Wingdings"/>
              </w:rPr>
              <w:sym w:font="Wingdings" w:char="F0FC"/>
            </w:r>
          </w:p>
        </w:tc>
      </w:tr>
      <w:tr w:rsidR="00585366" w:rsidRPr="00454399" w14:paraId="1100733E"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2B44D537"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Size of Investment</w:t>
            </w:r>
          </w:p>
        </w:tc>
        <w:tc>
          <w:tcPr>
            <w:tcW w:w="708" w:type="dxa"/>
            <w:vAlign w:val="bottom"/>
          </w:tcPr>
          <w:p w14:paraId="0AB4584E"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43AC5A17"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4608EF35" w14:textId="77777777" w:rsidR="00585366" w:rsidRDefault="00585366" w:rsidP="00585366">
            <w:pPr>
              <w:pStyle w:val="TableCell"/>
              <w:jc w:val="center"/>
            </w:pPr>
          </w:p>
        </w:tc>
        <w:tc>
          <w:tcPr>
            <w:tcW w:w="709" w:type="dxa"/>
            <w:vAlign w:val="bottom"/>
          </w:tcPr>
          <w:p w14:paraId="5FCDAFB3" w14:textId="77777777" w:rsidR="00585366" w:rsidRDefault="00585366" w:rsidP="00585366">
            <w:pPr>
              <w:pStyle w:val="TableCell"/>
              <w:jc w:val="center"/>
            </w:pPr>
            <w:r>
              <w:rPr>
                <w:rFonts w:ascii="Wingdings" w:hAnsi="Wingdings"/>
              </w:rPr>
              <w:sym w:font="Wingdings" w:char="F0FC"/>
            </w:r>
          </w:p>
        </w:tc>
        <w:tc>
          <w:tcPr>
            <w:tcW w:w="708" w:type="dxa"/>
            <w:vAlign w:val="bottom"/>
          </w:tcPr>
          <w:p w14:paraId="70DA51FF" w14:textId="77777777" w:rsidR="00585366" w:rsidRDefault="00585366" w:rsidP="00585366">
            <w:pPr>
              <w:pStyle w:val="TableCell"/>
              <w:jc w:val="center"/>
            </w:pPr>
            <w:r>
              <w:rPr>
                <w:rFonts w:ascii="Wingdings" w:hAnsi="Wingdings"/>
              </w:rPr>
              <w:sym w:font="Wingdings" w:char="F0FC"/>
            </w:r>
          </w:p>
        </w:tc>
        <w:tc>
          <w:tcPr>
            <w:tcW w:w="709" w:type="dxa"/>
            <w:vAlign w:val="bottom"/>
          </w:tcPr>
          <w:p w14:paraId="02889A07" w14:textId="77777777" w:rsidR="00585366" w:rsidRDefault="00585366" w:rsidP="00585366">
            <w:pPr>
              <w:pStyle w:val="TableCell"/>
              <w:jc w:val="center"/>
            </w:pPr>
            <w:r>
              <w:rPr>
                <w:rFonts w:ascii="Wingdings" w:hAnsi="Wingdings"/>
              </w:rPr>
              <w:sym w:font="Wingdings" w:char="F0FC"/>
            </w:r>
          </w:p>
        </w:tc>
        <w:tc>
          <w:tcPr>
            <w:tcW w:w="709" w:type="dxa"/>
            <w:vAlign w:val="bottom"/>
          </w:tcPr>
          <w:p w14:paraId="4D89B1B8" w14:textId="77777777" w:rsidR="00585366" w:rsidRDefault="00585366" w:rsidP="00585366">
            <w:pPr>
              <w:pStyle w:val="TableCell"/>
              <w:jc w:val="center"/>
            </w:pPr>
            <w:r>
              <w:rPr>
                <w:rFonts w:ascii="Wingdings" w:hAnsi="Wingdings"/>
              </w:rPr>
              <w:sym w:font="Wingdings" w:char="F0FC"/>
            </w:r>
          </w:p>
        </w:tc>
        <w:tc>
          <w:tcPr>
            <w:tcW w:w="709" w:type="dxa"/>
            <w:vAlign w:val="bottom"/>
          </w:tcPr>
          <w:p w14:paraId="3673BC02" w14:textId="77777777" w:rsidR="00585366" w:rsidRDefault="00585366" w:rsidP="00585366">
            <w:pPr>
              <w:pStyle w:val="TableCell"/>
              <w:jc w:val="center"/>
            </w:pPr>
            <w:r>
              <w:rPr>
                <w:rFonts w:ascii="Wingdings" w:hAnsi="Wingdings"/>
              </w:rPr>
              <w:sym w:font="Wingdings" w:char="F0FC"/>
            </w:r>
          </w:p>
        </w:tc>
      </w:tr>
      <w:tr w:rsidR="00585366" w:rsidRPr="00454399" w14:paraId="50780C5D"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5951D52F"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Investment Horizon</w:t>
            </w:r>
            <w:r>
              <w:rPr>
                <w:rFonts w:ascii="Arial Narrow" w:hAnsi="Arial Narrow" w:cs="Arial"/>
                <w:color w:val="000000"/>
                <w:sz w:val="16"/>
                <w:szCs w:val="16"/>
              </w:rPr>
              <w:t xml:space="preserve"> / Duration</w:t>
            </w:r>
          </w:p>
        </w:tc>
        <w:tc>
          <w:tcPr>
            <w:tcW w:w="708" w:type="dxa"/>
            <w:vAlign w:val="bottom"/>
          </w:tcPr>
          <w:p w14:paraId="336C46BD" w14:textId="77777777" w:rsidR="00585366" w:rsidRPr="00B30BDA" w:rsidRDefault="00585366" w:rsidP="00585366">
            <w:pPr>
              <w:pStyle w:val="TableCell"/>
              <w:jc w:val="center"/>
              <w:rPr>
                <w:b/>
                <w:color w:val="5781B3"/>
              </w:rPr>
            </w:pPr>
          </w:p>
        </w:tc>
        <w:tc>
          <w:tcPr>
            <w:tcW w:w="709" w:type="dxa"/>
            <w:vAlign w:val="bottom"/>
          </w:tcPr>
          <w:p w14:paraId="5BE29241"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E11C066" w14:textId="77777777" w:rsidR="00585366" w:rsidRDefault="00585366" w:rsidP="00585366">
            <w:pPr>
              <w:pStyle w:val="TableCell"/>
              <w:jc w:val="center"/>
            </w:pPr>
            <w:r>
              <w:rPr>
                <w:rFonts w:ascii="Wingdings" w:hAnsi="Wingdings"/>
              </w:rPr>
              <w:sym w:font="Wingdings" w:char="F0FC"/>
            </w:r>
          </w:p>
        </w:tc>
        <w:tc>
          <w:tcPr>
            <w:tcW w:w="709" w:type="dxa"/>
            <w:vAlign w:val="bottom"/>
          </w:tcPr>
          <w:p w14:paraId="2A0EDB67" w14:textId="77777777" w:rsidR="00585366" w:rsidRDefault="00585366" w:rsidP="00585366">
            <w:pPr>
              <w:pStyle w:val="TableCell"/>
              <w:jc w:val="center"/>
            </w:pPr>
            <w:r>
              <w:rPr>
                <w:rFonts w:ascii="Wingdings" w:hAnsi="Wingdings"/>
              </w:rPr>
              <w:sym w:font="Wingdings" w:char="F0FC"/>
            </w:r>
          </w:p>
        </w:tc>
        <w:tc>
          <w:tcPr>
            <w:tcW w:w="708" w:type="dxa"/>
            <w:vAlign w:val="bottom"/>
          </w:tcPr>
          <w:p w14:paraId="1703C9CC" w14:textId="77777777" w:rsidR="00585366" w:rsidRDefault="00585366" w:rsidP="00585366">
            <w:pPr>
              <w:pStyle w:val="TableCell"/>
              <w:jc w:val="center"/>
            </w:pPr>
          </w:p>
        </w:tc>
        <w:tc>
          <w:tcPr>
            <w:tcW w:w="709" w:type="dxa"/>
            <w:vAlign w:val="bottom"/>
          </w:tcPr>
          <w:p w14:paraId="0761669D" w14:textId="77777777" w:rsidR="00585366" w:rsidRDefault="00585366" w:rsidP="00585366">
            <w:pPr>
              <w:pStyle w:val="TableCell"/>
              <w:jc w:val="center"/>
            </w:pPr>
          </w:p>
        </w:tc>
        <w:tc>
          <w:tcPr>
            <w:tcW w:w="709" w:type="dxa"/>
            <w:vAlign w:val="bottom"/>
          </w:tcPr>
          <w:p w14:paraId="3EAA3DCC" w14:textId="77777777" w:rsidR="00585366" w:rsidRDefault="00585366" w:rsidP="00585366">
            <w:pPr>
              <w:pStyle w:val="TableCell"/>
              <w:jc w:val="center"/>
            </w:pPr>
          </w:p>
        </w:tc>
        <w:tc>
          <w:tcPr>
            <w:tcW w:w="709" w:type="dxa"/>
            <w:vAlign w:val="bottom"/>
          </w:tcPr>
          <w:p w14:paraId="24118DC2" w14:textId="77777777" w:rsidR="00585366" w:rsidRDefault="00585366" w:rsidP="00585366">
            <w:pPr>
              <w:pStyle w:val="TableCell"/>
              <w:jc w:val="center"/>
            </w:pPr>
          </w:p>
        </w:tc>
      </w:tr>
      <w:tr w:rsidR="00585366" w:rsidRPr="00454399" w14:paraId="01448C89"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287F312A"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Type of Investor</w:t>
            </w:r>
          </w:p>
        </w:tc>
        <w:tc>
          <w:tcPr>
            <w:tcW w:w="708" w:type="dxa"/>
            <w:vAlign w:val="bottom"/>
          </w:tcPr>
          <w:p w14:paraId="328DE8E2" w14:textId="77777777" w:rsidR="00585366" w:rsidRPr="00B30BDA" w:rsidRDefault="00585366" w:rsidP="00585366">
            <w:pPr>
              <w:pStyle w:val="TableCell"/>
              <w:jc w:val="center"/>
              <w:rPr>
                <w:b/>
                <w:color w:val="5781B3"/>
              </w:rPr>
            </w:pPr>
          </w:p>
        </w:tc>
        <w:tc>
          <w:tcPr>
            <w:tcW w:w="709" w:type="dxa"/>
            <w:vAlign w:val="bottom"/>
          </w:tcPr>
          <w:p w14:paraId="092BEAAA" w14:textId="77777777" w:rsidR="00585366" w:rsidRPr="00B30BDA" w:rsidRDefault="00585366" w:rsidP="00585366">
            <w:pPr>
              <w:pStyle w:val="TableCell"/>
              <w:jc w:val="center"/>
              <w:rPr>
                <w:b/>
                <w:color w:val="5781B3"/>
              </w:rPr>
            </w:pPr>
          </w:p>
        </w:tc>
        <w:tc>
          <w:tcPr>
            <w:tcW w:w="709" w:type="dxa"/>
            <w:vAlign w:val="bottom"/>
          </w:tcPr>
          <w:p w14:paraId="74D636F3" w14:textId="77777777" w:rsidR="00585366" w:rsidRDefault="00585366" w:rsidP="00585366">
            <w:pPr>
              <w:pStyle w:val="TableCell"/>
              <w:jc w:val="center"/>
            </w:pPr>
          </w:p>
        </w:tc>
        <w:tc>
          <w:tcPr>
            <w:tcW w:w="709" w:type="dxa"/>
            <w:vAlign w:val="bottom"/>
          </w:tcPr>
          <w:p w14:paraId="5906F526" w14:textId="77777777" w:rsidR="00585366" w:rsidRDefault="00585366" w:rsidP="00585366">
            <w:pPr>
              <w:pStyle w:val="TableCell"/>
              <w:jc w:val="center"/>
            </w:pPr>
          </w:p>
        </w:tc>
        <w:tc>
          <w:tcPr>
            <w:tcW w:w="708" w:type="dxa"/>
            <w:vAlign w:val="bottom"/>
          </w:tcPr>
          <w:p w14:paraId="7AF789CB" w14:textId="77777777" w:rsidR="00585366" w:rsidRDefault="00585366" w:rsidP="00585366">
            <w:pPr>
              <w:pStyle w:val="TableCell"/>
              <w:jc w:val="center"/>
            </w:pPr>
          </w:p>
        </w:tc>
        <w:tc>
          <w:tcPr>
            <w:tcW w:w="709" w:type="dxa"/>
            <w:vAlign w:val="bottom"/>
          </w:tcPr>
          <w:p w14:paraId="056E2C88" w14:textId="77777777" w:rsidR="00585366" w:rsidRDefault="00585366" w:rsidP="00585366">
            <w:pPr>
              <w:pStyle w:val="TableCell"/>
              <w:jc w:val="center"/>
            </w:pPr>
          </w:p>
        </w:tc>
        <w:tc>
          <w:tcPr>
            <w:tcW w:w="709" w:type="dxa"/>
            <w:vAlign w:val="bottom"/>
          </w:tcPr>
          <w:p w14:paraId="6EAF1394" w14:textId="77777777" w:rsidR="00585366" w:rsidRDefault="00585366" w:rsidP="00585366">
            <w:pPr>
              <w:pStyle w:val="TableCell"/>
              <w:jc w:val="center"/>
            </w:pPr>
          </w:p>
        </w:tc>
        <w:tc>
          <w:tcPr>
            <w:tcW w:w="709" w:type="dxa"/>
            <w:vAlign w:val="bottom"/>
          </w:tcPr>
          <w:p w14:paraId="4D8EFB1E" w14:textId="77777777" w:rsidR="00585366" w:rsidRDefault="00585366" w:rsidP="00585366">
            <w:pPr>
              <w:pStyle w:val="TableCell"/>
              <w:jc w:val="center"/>
            </w:pPr>
          </w:p>
        </w:tc>
      </w:tr>
      <w:tr w:rsidR="00585366" w:rsidRPr="00454399" w14:paraId="151FD291"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3DD0270E"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Size of the Company</w:t>
            </w:r>
          </w:p>
        </w:tc>
        <w:tc>
          <w:tcPr>
            <w:tcW w:w="708" w:type="dxa"/>
            <w:vAlign w:val="bottom"/>
          </w:tcPr>
          <w:p w14:paraId="75772245"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766AA2BB" w14:textId="77777777" w:rsidR="00585366" w:rsidRPr="00B30BDA" w:rsidRDefault="00585366" w:rsidP="00585366">
            <w:pPr>
              <w:pStyle w:val="TableCell"/>
              <w:jc w:val="center"/>
              <w:rPr>
                <w:b/>
                <w:color w:val="5781B3"/>
              </w:rPr>
            </w:pPr>
          </w:p>
        </w:tc>
        <w:tc>
          <w:tcPr>
            <w:tcW w:w="709" w:type="dxa"/>
            <w:vAlign w:val="bottom"/>
          </w:tcPr>
          <w:p w14:paraId="73F1CEE6" w14:textId="77777777" w:rsidR="00585366" w:rsidRDefault="00585366" w:rsidP="00585366">
            <w:pPr>
              <w:pStyle w:val="TableCell"/>
              <w:jc w:val="center"/>
            </w:pPr>
          </w:p>
        </w:tc>
        <w:tc>
          <w:tcPr>
            <w:tcW w:w="709" w:type="dxa"/>
            <w:vAlign w:val="bottom"/>
          </w:tcPr>
          <w:p w14:paraId="1E9B4E35" w14:textId="77777777" w:rsidR="00585366" w:rsidRDefault="00585366" w:rsidP="00585366">
            <w:pPr>
              <w:pStyle w:val="TableCell"/>
              <w:jc w:val="center"/>
            </w:pPr>
          </w:p>
        </w:tc>
        <w:tc>
          <w:tcPr>
            <w:tcW w:w="708" w:type="dxa"/>
            <w:vAlign w:val="bottom"/>
          </w:tcPr>
          <w:p w14:paraId="47141C73" w14:textId="77777777" w:rsidR="00585366" w:rsidRDefault="00585366" w:rsidP="00585366">
            <w:pPr>
              <w:pStyle w:val="TableCell"/>
              <w:jc w:val="center"/>
            </w:pPr>
            <w:r>
              <w:rPr>
                <w:rFonts w:ascii="Wingdings" w:hAnsi="Wingdings"/>
              </w:rPr>
              <w:sym w:font="Wingdings" w:char="F0FC"/>
            </w:r>
          </w:p>
        </w:tc>
        <w:tc>
          <w:tcPr>
            <w:tcW w:w="709" w:type="dxa"/>
            <w:vAlign w:val="bottom"/>
          </w:tcPr>
          <w:p w14:paraId="69942F68" w14:textId="77777777" w:rsidR="00585366" w:rsidRDefault="00585366" w:rsidP="00585366">
            <w:pPr>
              <w:pStyle w:val="TableCell"/>
              <w:jc w:val="center"/>
            </w:pPr>
          </w:p>
        </w:tc>
        <w:tc>
          <w:tcPr>
            <w:tcW w:w="709" w:type="dxa"/>
            <w:vAlign w:val="bottom"/>
          </w:tcPr>
          <w:p w14:paraId="74EB9B7E" w14:textId="77777777" w:rsidR="00585366" w:rsidRDefault="00585366" w:rsidP="00585366">
            <w:pPr>
              <w:pStyle w:val="TableCell"/>
              <w:jc w:val="center"/>
            </w:pPr>
          </w:p>
        </w:tc>
        <w:tc>
          <w:tcPr>
            <w:tcW w:w="709" w:type="dxa"/>
            <w:vAlign w:val="bottom"/>
          </w:tcPr>
          <w:p w14:paraId="0DB93480" w14:textId="77777777" w:rsidR="00585366" w:rsidRDefault="00585366" w:rsidP="00585366">
            <w:pPr>
              <w:pStyle w:val="TableCell"/>
              <w:jc w:val="center"/>
            </w:pPr>
            <w:r>
              <w:rPr>
                <w:rFonts w:ascii="Wingdings" w:hAnsi="Wingdings"/>
              </w:rPr>
              <w:sym w:font="Wingdings" w:char="F0FC"/>
            </w:r>
          </w:p>
        </w:tc>
      </w:tr>
      <w:tr w:rsidR="00585366" w:rsidRPr="00454399" w14:paraId="3B210D0A"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00DDC3C5"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 xml:space="preserve">Nationality </w:t>
            </w:r>
            <w:r>
              <w:rPr>
                <w:rFonts w:ascii="Arial Narrow" w:hAnsi="Arial Narrow" w:cs="Arial"/>
                <w:color w:val="000000"/>
                <w:sz w:val="16"/>
                <w:szCs w:val="16"/>
              </w:rPr>
              <w:t>of Investor</w:t>
            </w:r>
          </w:p>
        </w:tc>
        <w:tc>
          <w:tcPr>
            <w:tcW w:w="708" w:type="dxa"/>
            <w:vAlign w:val="bottom"/>
          </w:tcPr>
          <w:p w14:paraId="56AC0DC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19A0B8D"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DB9E742" w14:textId="77777777" w:rsidR="00585366" w:rsidRDefault="00585366" w:rsidP="00585366">
            <w:pPr>
              <w:pStyle w:val="TableCell"/>
              <w:jc w:val="center"/>
            </w:pPr>
          </w:p>
        </w:tc>
        <w:tc>
          <w:tcPr>
            <w:tcW w:w="709" w:type="dxa"/>
            <w:vAlign w:val="bottom"/>
          </w:tcPr>
          <w:p w14:paraId="4FE989F2" w14:textId="77777777" w:rsidR="00585366" w:rsidRDefault="00585366" w:rsidP="00585366">
            <w:pPr>
              <w:pStyle w:val="TableCell"/>
              <w:jc w:val="center"/>
            </w:pPr>
            <w:r>
              <w:rPr>
                <w:rFonts w:ascii="Wingdings" w:hAnsi="Wingdings"/>
              </w:rPr>
              <w:sym w:font="Wingdings" w:char="F0FC"/>
            </w:r>
          </w:p>
        </w:tc>
        <w:tc>
          <w:tcPr>
            <w:tcW w:w="708" w:type="dxa"/>
            <w:vAlign w:val="bottom"/>
          </w:tcPr>
          <w:p w14:paraId="4D5DE0E1" w14:textId="77777777" w:rsidR="00585366" w:rsidRDefault="00585366" w:rsidP="00585366">
            <w:pPr>
              <w:pStyle w:val="TableCell"/>
              <w:jc w:val="center"/>
            </w:pPr>
            <w:r>
              <w:rPr>
                <w:rFonts w:ascii="Wingdings" w:hAnsi="Wingdings"/>
              </w:rPr>
              <w:sym w:font="Wingdings" w:char="F0FC"/>
            </w:r>
          </w:p>
        </w:tc>
        <w:tc>
          <w:tcPr>
            <w:tcW w:w="709" w:type="dxa"/>
            <w:vAlign w:val="bottom"/>
          </w:tcPr>
          <w:p w14:paraId="2588FB05" w14:textId="77777777" w:rsidR="00585366" w:rsidRDefault="00585366" w:rsidP="00585366">
            <w:pPr>
              <w:pStyle w:val="TableCell"/>
              <w:jc w:val="center"/>
            </w:pPr>
          </w:p>
        </w:tc>
        <w:tc>
          <w:tcPr>
            <w:tcW w:w="709" w:type="dxa"/>
            <w:vAlign w:val="bottom"/>
          </w:tcPr>
          <w:p w14:paraId="1312BC25" w14:textId="77777777" w:rsidR="00585366" w:rsidRDefault="00585366" w:rsidP="00585366">
            <w:pPr>
              <w:pStyle w:val="TableCell"/>
              <w:jc w:val="center"/>
            </w:pPr>
          </w:p>
        </w:tc>
        <w:tc>
          <w:tcPr>
            <w:tcW w:w="709" w:type="dxa"/>
            <w:vAlign w:val="bottom"/>
          </w:tcPr>
          <w:p w14:paraId="50C89C4D" w14:textId="77777777" w:rsidR="00585366" w:rsidRDefault="00585366" w:rsidP="00585366">
            <w:pPr>
              <w:pStyle w:val="TableCell"/>
              <w:jc w:val="center"/>
            </w:pPr>
          </w:p>
        </w:tc>
      </w:tr>
      <w:tr w:rsidR="00585366" w:rsidRPr="00454399" w14:paraId="568FC3D0"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7DFE1504"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Company’s Engagement in FDI</w:t>
            </w:r>
          </w:p>
        </w:tc>
        <w:tc>
          <w:tcPr>
            <w:tcW w:w="708" w:type="dxa"/>
            <w:vAlign w:val="bottom"/>
          </w:tcPr>
          <w:p w14:paraId="1779393C"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095732A"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206FC6DC" w14:textId="77777777" w:rsidR="00585366" w:rsidRDefault="00585366" w:rsidP="00585366">
            <w:pPr>
              <w:pStyle w:val="TableCell"/>
              <w:jc w:val="center"/>
            </w:pPr>
            <w:r>
              <w:rPr>
                <w:rFonts w:ascii="Wingdings" w:hAnsi="Wingdings"/>
              </w:rPr>
              <w:sym w:font="Wingdings" w:char="F0FC"/>
            </w:r>
          </w:p>
        </w:tc>
        <w:tc>
          <w:tcPr>
            <w:tcW w:w="709" w:type="dxa"/>
            <w:vAlign w:val="bottom"/>
          </w:tcPr>
          <w:p w14:paraId="7B2CAD07" w14:textId="77777777" w:rsidR="00585366" w:rsidRDefault="00585366" w:rsidP="00585366">
            <w:pPr>
              <w:pStyle w:val="TableCell"/>
              <w:jc w:val="center"/>
            </w:pPr>
            <w:r>
              <w:rPr>
                <w:rFonts w:ascii="Wingdings" w:hAnsi="Wingdings"/>
              </w:rPr>
              <w:sym w:font="Wingdings" w:char="F0FC"/>
            </w:r>
          </w:p>
        </w:tc>
        <w:tc>
          <w:tcPr>
            <w:tcW w:w="708" w:type="dxa"/>
            <w:vAlign w:val="bottom"/>
          </w:tcPr>
          <w:p w14:paraId="7BF6CDD7" w14:textId="77777777" w:rsidR="00585366" w:rsidRDefault="00585366" w:rsidP="00585366">
            <w:pPr>
              <w:pStyle w:val="TableCell"/>
              <w:jc w:val="center"/>
            </w:pPr>
            <w:r>
              <w:rPr>
                <w:rFonts w:ascii="Wingdings" w:hAnsi="Wingdings"/>
              </w:rPr>
              <w:sym w:font="Wingdings" w:char="F0FC"/>
            </w:r>
          </w:p>
        </w:tc>
        <w:tc>
          <w:tcPr>
            <w:tcW w:w="709" w:type="dxa"/>
            <w:vAlign w:val="bottom"/>
          </w:tcPr>
          <w:p w14:paraId="4643AB50" w14:textId="77777777" w:rsidR="00585366" w:rsidRDefault="00585366" w:rsidP="00585366">
            <w:pPr>
              <w:pStyle w:val="TableCell"/>
              <w:jc w:val="center"/>
            </w:pPr>
          </w:p>
        </w:tc>
        <w:tc>
          <w:tcPr>
            <w:tcW w:w="709" w:type="dxa"/>
            <w:vAlign w:val="bottom"/>
          </w:tcPr>
          <w:p w14:paraId="2D0FFFCB" w14:textId="77777777" w:rsidR="00585366" w:rsidRDefault="00585366" w:rsidP="00585366">
            <w:pPr>
              <w:pStyle w:val="TableCell"/>
              <w:jc w:val="center"/>
            </w:pPr>
            <w:r>
              <w:rPr>
                <w:rFonts w:ascii="Wingdings" w:hAnsi="Wingdings"/>
              </w:rPr>
              <w:sym w:font="Wingdings" w:char="F0FC"/>
            </w:r>
          </w:p>
        </w:tc>
        <w:tc>
          <w:tcPr>
            <w:tcW w:w="709" w:type="dxa"/>
            <w:vAlign w:val="bottom"/>
          </w:tcPr>
          <w:p w14:paraId="59D4DF84" w14:textId="77777777" w:rsidR="00585366" w:rsidRDefault="00585366" w:rsidP="00585366">
            <w:pPr>
              <w:pStyle w:val="TableCell"/>
              <w:jc w:val="center"/>
            </w:pPr>
            <w:r>
              <w:rPr>
                <w:rFonts w:ascii="Wingdings" w:hAnsi="Wingdings"/>
              </w:rPr>
              <w:sym w:font="Wingdings" w:char="F0FC"/>
            </w:r>
          </w:p>
        </w:tc>
      </w:tr>
      <w:tr w:rsidR="00585366" w:rsidRPr="00454399" w14:paraId="59F2DD8D"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6457DBE0"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Job Creation</w:t>
            </w:r>
          </w:p>
        </w:tc>
        <w:tc>
          <w:tcPr>
            <w:tcW w:w="708" w:type="dxa"/>
            <w:vAlign w:val="bottom"/>
          </w:tcPr>
          <w:p w14:paraId="199B0DFF"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6C74BF82"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55E3D031" w14:textId="77777777" w:rsidR="00585366" w:rsidRDefault="00585366" w:rsidP="00585366">
            <w:pPr>
              <w:pStyle w:val="TableCell"/>
              <w:jc w:val="center"/>
            </w:pPr>
            <w:r>
              <w:rPr>
                <w:rFonts w:ascii="Wingdings" w:hAnsi="Wingdings"/>
              </w:rPr>
              <w:sym w:font="Wingdings" w:char="F0FC"/>
            </w:r>
          </w:p>
        </w:tc>
        <w:tc>
          <w:tcPr>
            <w:tcW w:w="709" w:type="dxa"/>
            <w:vAlign w:val="bottom"/>
          </w:tcPr>
          <w:p w14:paraId="1FB6CC48" w14:textId="77777777" w:rsidR="00585366" w:rsidRDefault="00585366" w:rsidP="00585366">
            <w:pPr>
              <w:pStyle w:val="TableCell"/>
              <w:jc w:val="center"/>
            </w:pPr>
            <w:r>
              <w:rPr>
                <w:rFonts w:ascii="Wingdings" w:hAnsi="Wingdings"/>
              </w:rPr>
              <w:sym w:font="Wingdings" w:char="F0FC"/>
            </w:r>
          </w:p>
        </w:tc>
        <w:tc>
          <w:tcPr>
            <w:tcW w:w="708" w:type="dxa"/>
            <w:vAlign w:val="bottom"/>
          </w:tcPr>
          <w:p w14:paraId="42C7AFE3" w14:textId="77777777" w:rsidR="00585366" w:rsidRDefault="00585366" w:rsidP="00585366">
            <w:pPr>
              <w:pStyle w:val="TableCell"/>
              <w:jc w:val="center"/>
            </w:pPr>
            <w:r>
              <w:rPr>
                <w:rFonts w:ascii="Wingdings" w:hAnsi="Wingdings"/>
              </w:rPr>
              <w:sym w:font="Wingdings" w:char="F0FC"/>
            </w:r>
          </w:p>
        </w:tc>
        <w:tc>
          <w:tcPr>
            <w:tcW w:w="709" w:type="dxa"/>
            <w:vAlign w:val="bottom"/>
          </w:tcPr>
          <w:p w14:paraId="01B3671E" w14:textId="77777777" w:rsidR="00585366" w:rsidRDefault="00585366" w:rsidP="00585366">
            <w:pPr>
              <w:pStyle w:val="TableCell"/>
              <w:jc w:val="center"/>
            </w:pPr>
            <w:r>
              <w:rPr>
                <w:rFonts w:ascii="Wingdings" w:hAnsi="Wingdings"/>
              </w:rPr>
              <w:sym w:font="Wingdings" w:char="F0FC"/>
            </w:r>
          </w:p>
        </w:tc>
        <w:tc>
          <w:tcPr>
            <w:tcW w:w="709" w:type="dxa"/>
            <w:vAlign w:val="bottom"/>
          </w:tcPr>
          <w:p w14:paraId="5A87A098" w14:textId="77777777" w:rsidR="00585366" w:rsidRDefault="00585366" w:rsidP="00585366">
            <w:pPr>
              <w:pStyle w:val="TableCell"/>
              <w:jc w:val="center"/>
            </w:pPr>
            <w:r>
              <w:rPr>
                <w:rFonts w:ascii="Wingdings" w:hAnsi="Wingdings"/>
              </w:rPr>
              <w:sym w:font="Wingdings" w:char="F0FC"/>
            </w:r>
          </w:p>
        </w:tc>
        <w:tc>
          <w:tcPr>
            <w:tcW w:w="709" w:type="dxa"/>
            <w:vAlign w:val="bottom"/>
          </w:tcPr>
          <w:p w14:paraId="2028D7FE" w14:textId="77777777" w:rsidR="00585366" w:rsidRDefault="00585366" w:rsidP="00585366">
            <w:pPr>
              <w:pStyle w:val="TableCell"/>
              <w:jc w:val="center"/>
            </w:pPr>
            <w:r>
              <w:rPr>
                <w:rFonts w:ascii="Wingdings" w:hAnsi="Wingdings"/>
              </w:rPr>
              <w:sym w:font="Wingdings" w:char="F0FC"/>
            </w:r>
          </w:p>
        </w:tc>
      </w:tr>
      <w:tr w:rsidR="00585366" w:rsidRPr="00454399" w14:paraId="597B577D"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552A3F7D"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Wages</w:t>
            </w:r>
          </w:p>
        </w:tc>
        <w:tc>
          <w:tcPr>
            <w:tcW w:w="708" w:type="dxa"/>
            <w:vAlign w:val="bottom"/>
          </w:tcPr>
          <w:p w14:paraId="50D2935F" w14:textId="77777777" w:rsidR="00585366" w:rsidRPr="00B30BDA" w:rsidRDefault="00585366" w:rsidP="00585366">
            <w:pPr>
              <w:pStyle w:val="TableCell"/>
              <w:jc w:val="center"/>
              <w:rPr>
                <w:b/>
                <w:color w:val="5781B3"/>
              </w:rPr>
            </w:pPr>
          </w:p>
        </w:tc>
        <w:tc>
          <w:tcPr>
            <w:tcW w:w="709" w:type="dxa"/>
            <w:vAlign w:val="bottom"/>
          </w:tcPr>
          <w:p w14:paraId="396C921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52DF38C" w14:textId="77777777" w:rsidR="00585366" w:rsidRDefault="00585366" w:rsidP="00585366">
            <w:pPr>
              <w:pStyle w:val="TableCell"/>
              <w:jc w:val="center"/>
            </w:pPr>
            <w:r>
              <w:rPr>
                <w:rFonts w:ascii="Wingdings" w:hAnsi="Wingdings"/>
              </w:rPr>
              <w:sym w:font="Wingdings" w:char="F0FC"/>
            </w:r>
          </w:p>
        </w:tc>
        <w:tc>
          <w:tcPr>
            <w:tcW w:w="709" w:type="dxa"/>
            <w:vAlign w:val="bottom"/>
          </w:tcPr>
          <w:p w14:paraId="1EE4FE41" w14:textId="77777777" w:rsidR="00585366" w:rsidRDefault="00585366" w:rsidP="00585366">
            <w:pPr>
              <w:pStyle w:val="TableCell"/>
              <w:jc w:val="center"/>
            </w:pPr>
            <w:r>
              <w:rPr>
                <w:rFonts w:ascii="Wingdings" w:hAnsi="Wingdings"/>
              </w:rPr>
              <w:sym w:font="Wingdings" w:char="F0FC"/>
            </w:r>
          </w:p>
        </w:tc>
        <w:tc>
          <w:tcPr>
            <w:tcW w:w="708" w:type="dxa"/>
            <w:vAlign w:val="bottom"/>
          </w:tcPr>
          <w:p w14:paraId="51FAC686" w14:textId="77777777" w:rsidR="00585366" w:rsidRDefault="00585366" w:rsidP="00585366">
            <w:pPr>
              <w:pStyle w:val="TableCell"/>
              <w:jc w:val="center"/>
            </w:pPr>
          </w:p>
        </w:tc>
        <w:tc>
          <w:tcPr>
            <w:tcW w:w="709" w:type="dxa"/>
            <w:vAlign w:val="bottom"/>
          </w:tcPr>
          <w:p w14:paraId="1C9EE463" w14:textId="77777777" w:rsidR="00585366" w:rsidRDefault="00585366" w:rsidP="00585366">
            <w:pPr>
              <w:pStyle w:val="TableCell"/>
              <w:jc w:val="center"/>
            </w:pPr>
          </w:p>
        </w:tc>
        <w:tc>
          <w:tcPr>
            <w:tcW w:w="709" w:type="dxa"/>
            <w:vAlign w:val="bottom"/>
          </w:tcPr>
          <w:p w14:paraId="16AC7E69" w14:textId="77777777" w:rsidR="00585366" w:rsidRDefault="00585366" w:rsidP="00585366">
            <w:pPr>
              <w:pStyle w:val="TableCell"/>
              <w:jc w:val="center"/>
            </w:pPr>
          </w:p>
        </w:tc>
        <w:tc>
          <w:tcPr>
            <w:tcW w:w="709" w:type="dxa"/>
            <w:vAlign w:val="bottom"/>
          </w:tcPr>
          <w:p w14:paraId="727A50D1" w14:textId="77777777" w:rsidR="00585366" w:rsidRDefault="00585366" w:rsidP="00585366">
            <w:pPr>
              <w:pStyle w:val="TableCell"/>
              <w:jc w:val="center"/>
            </w:pPr>
          </w:p>
        </w:tc>
      </w:tr>
      <w:tr w:rsidR="00585366" w:rsidRPr="00454399" w14:paraId="02B6F9AC"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6BD83019"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Exports</w:t>
            </w:r>
          </w:p>
        </w:tc>
        <w:tc>
          <w:tcPr>
            <w:tcW w:w="708" w:type="dxa"/>
            <w:vAlign w:val="bottom"/>
          </w:tcPr>
          <w:p w14:paraId="5FBA192E"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0164DB59"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53F8C73" w14:textId="77777777" w:rsidR="00585366" w:rsidRDefault="00585366" w:rsidP="00585366">
            <w:pPr>
              <w:pStyle w:val="TableCell"/>
              <w:jc w:val="center"/>
            </w:pPr>
            <w:r>
              <w:rPr>
                <w:rFonts w:ascii="Wingdings" w:hAnsi="Wingdings"/>
              </w:rPr>
              <w:sym w:font="Wingdings" w:char="F0FC"/>
            </w:r>
          </w:p>
        </w:tc>
        <w:tc>
          <w:tcPr>
            <w:tcW w:w="709" w:type="dxa"/>
            <w:vAlign w:val="bottom"/>
          </w:tcPr>
          <w:p w14:paraId="41FBC436" w14:textId="77777777" w:rsidR="00585366" w:rsidRDefault="00585366" w:rsidP="00585366">
            <w:pPr>
              <w:pStyle w:val="TableCell"/>
              <w:jc w:val="center"/>
            </w:pPr>
            <w:r>
              <w:rPr>
                <w:rFonts w:ascii="Wingdings" w:hAnsi="Wingdings"/>
              </w:rPr>
              <w:sym w:font="Wingdings" w:char="F0FC"/>
            </w:r>
          </w:p>
        </w:tc>
        <w:tc>
          <w:tcPr>
            <w:tcW w:w="708" w:type="dxa"/>
            <w:vAlign w:val="bottom"/>
          </w:tcPr>
          <w:p w14:paraId="72A325F1" w14:textId="77777777" w:rsidR="00585366" w:rsidRDefault="00585366" w:rsidP="00585366">
            <w:pPr>
              <w:pStyle w:val="TableCell"/>
              <w:jc w:val="center"/>
            </w:pPr>
            <w:r>
              <w:rPr>
                <w:rFonts w:ascii="Wingdings" w:hAnsi="Wingdings"/>
              </w:rPr>
              <w:sym w:font="Wingdings" w:char="F0FC"/>
            </w:r>
          </w:p>
        </w:tc>
        <w:tc>
          <w:tcPr>
            <w:tcW w:w="709" w:type="dxa"/>
            <w:vAlign w:val="bottom"/>
          </w:tcPr>
          <w:p w14:paraId="77F37A4B" w14:textId="77777777" w:rsidR="00585366" w:rsidRDefault="00585366" w:rsidP="00585366">
            <w:pPr>
              <w:pStyle w:val="TableCell"/>
              <w:jc w:val="center"/>
            </w:pPr>
            <w:r>
              <w:rPr>
                <w:rFonts w:ascii="Wingdings" w:hAnsi="Wingdings"/>
              </w:rPr>
              <w:sym w:font="Wingdings" w:char="F0FC"/>
            </w:r>
          </w:p>
        </w:tc>
        <w:tc>
          <w:tcPr>
            <w:tcW w:w="709" w:type="dxa"/>
            <w:vAlign w:val="bottom"/>
          </w:tcPr>
          <w:p w14:paraId="52A7973D" w14:textId="77777777" w:rsidR="00585366" w:rsidRDefault="00585366" w:rsidP="00585366">
            <w:pPr>
              <w:pStyle w:val="TableCell"/>
              <w:jc w:val="center"/>
            </w:pPr>
            <w:r>
              <w:rPr>
                <w:rFonts w:ascii="Wingdings" w:hAnsi="Wingdings"/>
              </w:rPr>
              <w:sym w:font="Wingdings" w:char="F0FC"/>
            </w:r>
          </w:p>
        </w:tc>
        <w:tc>
          <w:tcPr>
            <w:tcW w:w="709" w:type="dxa"/>
            <w:vAlign w:val="bottom"/>
          </w:tcPr>
          <w:p w14:paraId="0261F314" w14:textId="77777777" w:rsidR="00585366" w:rsidRDefault="00585366" w:rsidP="00585366">
            <w:pPr>
              <w:pStyle w:val="TableCell"/>
              <w:jc w:val="center"/>
            </w:pPr>
            <w:r>
              <w:rPr>
                <w:rFonts w:ascii="Wingdings" w:hAnsi="Wingdings"/>
              </w:rPr>
              <w:sym w:font="Wingdings" w:char="F0FC"/>
            </w:r>
          </w:p>
        </w:tc>
      </w:tr>
      <w:tr w:rsidR="00585366" w:rsidRPr="00454399" w14:paraId="4F76E01C"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4094DFD4"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Innovation</w:t>
            </w:r>
          </w:p>
        </w:tc>
        <w:tc>
          <w:tcPr>
            <w:tcW w:w="708" w:type="dxa"/>
            <w:vAlign w:val="bottom"/>
          </w:tcPr>
          <w:p w14:paraId="2A5B962A"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69C8667"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0DDCD94A" w14:textId="77777777" w:rsidR="00585366" w:rsidRDefault="00585366" w:rsidP="00585366">
            <w:pPr>
              <w:pStyle w:val="TableCell"/>
              <w:jc w:val="center"/>
            </w:pPr>
            <w:r>
              <w:rPr>
                <w:rFonts w:ascii="Wingdings" w:hAnsi="Wingdings"/>
              </w:rPr>
              <w:sym w:font="Wingdings" w:char="F0FC"/>
            </w:r>
          </w:p>
        </w:tc>
        <w:tc>
          <w:tcPr>
            <w:tcW w:w="709" w:type="dxa"/>
            <w:vAlign w:val="bottom"/>
          </w:tcPr>
          <w:p w14:paraId="6C88A460" w14:textId="77777777" w:rsidR="00585366" w:rsidRDefault="00585366" w:rsidP="00585366">
            <w:pPr>
              <w:pStyle w:val="TableCell"/>
              <w:jc w:val="center"/>
            </w:pPr>
            <w:r>
              <w:rPr>
                <w:rFonts w:ascii="Wingdings" w:hAnsi="Wingdings"/>
              </w:rPr>
              <w:sym w:font="Wingdings" w:char="F0FC"/>
            </w:r>
          </w:p>
        </w:tc>
        <w:tc>
          <w:tcPr>
            <w:tcW w:w="708" w:type="dxa"/>
            <w:vAlign w:val="bottom"/>
          </w:tcPr>
          <w:p w14:paraId="5116F56E" w14:textId="77777777" w:rsidR="00585366" w:rsidRDefault="00585366" w:rsidP="00585366">
            <w:pPr>
              <w:pStyle w:val="TableCell"/>
              <w:jc w:val="center"/>
            </w:pPr>
            <w:r>
              <w:rPr>
                <w:rFonts w:ascii="Wingdings" w:hAnsi="Wingdings"/>
              </w:rPr>
              <w:sym w:font="Wingdings" w:char="F0FC"/>
            </w:r>
          </w:p>
        </w:tc>
        <w:tc>
          <w:tcPr>
            <w:tcW w:w="709" w:type="dxa"/>
            <w:vAlign w:val="bottom"/>
          </w:tcPr>
          <w:p w14:paraId="78D24EDB" w14:textId="77777777" w:rsidR="00585366" w:rsidRDefault="00585366" w:rsidP="00585366">
            <w:pPr>
              <w:pStyle w:val="TableCell"/>
              <w:jc w:val="center"/>
            </w:pPr>
            <w:r>
              <w:rPr>
                <w:rFonts w:ascii="Wingdings" w:hAnsi="Wingdings"/>
              </w:rPr>
              <w:sym w:font="Wingdings" w:char="F0FC"/>
            </w:r>
          </w:p>
        </w:tc>
        <w:tc>
          <w:tcPr>
            <w:tcW w:w="709" w:type="dxa"/>
            <w:vAlign w:val="bottom"/>
          </w:tcPr>
          <w:p w14:paraId="372815DB" w14:textId="77777777" w:rsidR="00585366" w:rsidRDefault="00585366" w:rsidP="00585366">
            <w:pPr>
              <w:pStyle w:val="TableCell"/>
              <w:jc w:val="center"/>
            </w:pPr>
            <w:r>
              <w:rPr>
                <w:rFonts w:ascii="Wingdings" w:hAnsi="Wingdings"/>
              </w:rPr>
              <w:sym w:font="Wingdings" w:char="F0FC"/>
            </w:r>
          </w:p>
        </w:tc>
        <w:tc>
          <w:tcPr>
            <w:tcW w:w="709" w:type="dxa"/>
            <w:vAlign w:val="bottom"/>
          </w:tcPr>
          <w:p w14:paraId="17DB346C" w14:textId="77777777" w:rsidR="00585366" w:rsidRDefault="00585366" w:rsidP="00585366">
            <w:pPr>
              <w:pStyle w:val="TableCell"/>
              <w:jc w:val="center"/>
            </w:pPr>
            <w:r>
              <w:rPr>
                <w:rFonts w:ascii="Wingdings" w:hAnsi="Wingdings"/>
              </w:rPr>
              <w:sym w:font="Wingdings" w:char="F0FC"/>
            </w:r>
          </w:p>
        </w:tc>
      </w:tr>
      <w:tr w:rsidR="00585366" w:rsidRPr="00454399" w14:paraId="320E2A50"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1E8079F3"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Regional Development</w:t>
            </w:r>
          </w:p>
        </w:tc>
        <w:tc>
          <w:tcPr>
            <w:tcW w:w="708" w:type="dxa"/>
            <w:vAlign w:val="bottom"/>
          </w:tcPr>
          <w:p w14:paraId="41D328B5"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5CCD81E4"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52FCF55F" w14:textId="77777777" w:rsidR="00585366" w:rsidRDefault="00585366" w:rsidP="00585366">
            <w:pPr>
              <w:pStyle w:val="TableCell"/>
              <w:jc w:val="center"/>
            </w:pPr>
            <w:r>
              <w:rPr>
                <w:rFonts w:ascii="Wingdings" w:hAnsi="Wingdings"/>
              </w:rPr>
              <w:sym w:font="Wingdings" w:char="F0FC"/>
            </w:r>
          </w:p>
        </w:tc>
        <w:tc>
          <w:tcPr>
            <w:tcW w:w="709" w:type="dxa"/>
            <w:vAlign w:val="bottom"/>
          </w:tcPr>
          <w:p w14:paraId="4D5E2CC8" w14:textId="77777777" w:rsidR="00585366" w:rsidRDefault="00585366" w:rsidP="00585366">
            <w:pPr>
              <w:pStyle w:val="TableCell"/>
              <w:jc w:val="center"/>
            </w:pPr>
            <w:r>
              <w:rPr>
                <w:rFonts w:ascii="Wingdings" w:hAnsi="Wingdings"/>
              </w:rPr>
              <w:sym w:font="Wingdings" w:char="F0FC"/>
            </w:r>
          </w:p>
        </w:tc>
        <w:tc>
          <w:tcPr>
            <w:tcW w:w="708" w:type="dxa"/>
            <w:vAlign w:val="bottom"/>
          </w:tcPr>
          <w:p w14:paraId="30E8C462" w14:textId="77777777" w:rsidR="00585366" w:rsidRDefault="00585366" w:rsidP="00585366">
            <w:pPr>
              <w:pStyle w:val="TableCell"/>
              <w:jc w:val="center"/>
            </w:pPr>
            <w:r>
              <w:rPr>
                <w:rFonts w:ascii="Wingdings" w:hAnsi="Wingdings"/>
              </w:rPr>
              <w:sym w:font="Wingdings" w:char="F0FC"/>
            </w:r>
          </w:p>
        </w:tc>
        <w:tc>
          <w:tcPr>
            <w:tcW w:w="709" w:type="dxa"/>
            <w:vAlign w:val="bottom"/>
          </w:tcPr>
          <w:p w14:paraId="6CC2A144" w14:textId="77777777" w:rsidR="00585366" w:rsidRDefault="00585366" w:rsidP="00585366">
            <w:pPr>
              <w:pStyle w:val="TableCell"/>
              <w:jc w:val="center"/>
            </w:pPr>
            <w:r>
              <w:rPr>
                <w:rFonts w:ascii="Wingdings" w:hAnsi="Wingdings"/>
              </w:rPr>
              <w:sym w:font="Wingdings" w:char="F0FC"/>
            </w:r>
          </w:p>
        </w:tc>
        <w:tc>
          <w:tcPr>
            <w:tcW w:w="709" w:type="dxa"/>
            <w:vAlign w:val="bottom"/>
          </w:tcPr>
          <w:p w14:paraId="01B19A5A" w14:textId="77777777" w:rsidR="00585366" w:rsidRDefault="00585366" w:rsidP="00585366">
            <w:pPr>
              <w:pStyle w:val="TableCell"/>
              <w:jc w:val="center"/>
            </w:pPr>
            <w:r>
              <w:rPr>
                <w:rFonts w:ascii="Wingdings" w:hAnsi="Wingdings"/>
              </w:rPr>
              <w:sym w:font="Wingdings" w:char="F0FC"/>
            </w:r>
          </w:p>
        </w:tc>
        <w:tc>
          <w:tcPr>
            <w:tcW w:w="709" w:type="dxa"/>
            <w:vAlign w:val="bottom"/>
          </w:tcPr>
          <w:p w14:paraId="157B30DC" w14:textId="77777777" w:rsidR="00585366" w:rsidRDefault="00585366" w:rsidP="00585366">
            <w:pPr>
              <w:pStyle w:val="TableCell"/>
              <w:jc w:val="center"/>
            </w:pPr>
            <w:r>
              <w:rPr>
                <w:rFonts w:ascii="Wingdings" w:hAnsi="Wingdings"/>
              </w:rPr>
              <w:sym w:font="Wingdings" w:char="F0FC"/>
            </w:r>
          </w:p>
        </w:tc>
      </w:tr>
      <w:tr w:rsidR="00585366" w:rsidRPr="00454399" w14:paraId="6A01DD7E"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647A06FE"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Tax Revenue</w:t>
            </w:r>
          </w:p>
        </w:tc>
        <w:tc>
          <w:tcPr>
            <w:tcW w:w="708" w:type="dxa"/>
            <w:vAlign w:val="bottom"/>
          </w:tcPr>
          <w:p w14:paraId="386B2680" w14:textId="77777777" w:rsidR="00585366" w:rsidRPr="00B30BDA" w:rsidRDefault="00585366" w:rsidP="00585366">
            <w:pPr>
              <w:pStyle w:val="TableCell"/>
              <w:jc w:val="center"/>
              <w:rPr>
                <w:b/>
                <w:color w:val="5781B3"/>
              </w:rPr>
            </w:pPr>
          </w:p>
        </w:tc>
        <w:tc>
          <w:tcPr>
            <w:tcW w:w="709" w:type="dxa"/>
            <w:vAlign w:val="bottom"/>
          </w:tcPr>
          <w:p w14:paraId="01B0C961" w14:textId="77777777" w:rsidR="00585366" w:rsidRPr="00B30BDA" w:rsidRDefault="00585366" w:rsidP="00585366">
            <w:pPr>
              <w:pStyle w:val="TableCell"/>
              <w:jc w:val="center"/>
              <w:rPr>
                <w:b/>
                <w:color w:val="5781B3"/>
              </w:rPr>
            </w:pPr>
          </w:p>
        </w:tc>
        <w:tc>
          <w:tcPr>
            <w:tcW w:w="709" w:type="dxa"/>
            <w:vAlign w:val="bottom"/>
          </w:tcPr>
          <w:p w14:paraId="762A4FA6" w14:textId="77777777" w:rsidR="00585366" w:rsidRDefault="00585366" w:rsidP="00585366">
            <w:pPr>
              <w:pStyle w:val="TableCell"/>
              <w:jc w:val="center"/>
            </w:pPr>
          </w:p>
        </w:tc>
        <w:tc>
          <w:tcPr>
            <w:tcW w:w="709" w:type="dxa"/>
            <w:vAlign w:val="bottom"/>
          </w:tcPr>
          <w:p w14:paraId="503E8319" w14:textId="77777777" w:rsidR="00585366" w:rsidRDefault="00585366" w:rsidP="00585366">
            <w:pPr>
              <w:pStyle w:val="TableCell"/>
              <w:jc w:val="center"/>
            </w:pPr>
          </w:p>
        </w:tc>
        <w:tc>
          <w:tcPr>
            <w:tcW w:w="708" w:type="dxa"/>
            <w:vAlign w:val="bottom"/>
          </w:tcPr>
          <w:p w14:paraId="0938474D" w14:textId="77777777" w:rsidR="00585366" w:rsidRDefault="00585366" w:rsidP="00585366">
            <w:pPr>
              <w:pStyle w:val="TableCell"/>
              <w:jc w:val="center"/>
            </w:pPr>
          </w:p>
        </w:tc>
        <w:tc>
          <w:tcPr>
            <w:tcW w:w="709" w:type="dxa"/>
            <w:vAlign w:val="bottom"/>
          </w:tcPr>
          <w:p w14:paraId="4F141A0E" w14:textId="77777777" w:rsidR="00585366" w:rsidRDefault="00585366" w:rsidP="00585366">
            <w:pPr>
              <w:pStyle w:val="TableCell"/>
              <w:jc w:val="center"/>
            </w:pPr>
          </w:p>
        </w:tc>
        <w:tc>
          <w:tcPr>
            <w:tcW w:w="709" w:type="dxa"/>
            <w:vAlign w:val="bottom"/>
          </w:tcPr>
          <w:p w14:paraId="5138770F" w14:textId="77777777" w:rsidR="00585366" w:rsidRDefault="00585366" w:rsidP="00585366">
            <w:pPr>
              <w:pStyle w:val="TableCell"/>
              <w:jc w:val="center"/>
            </w:pPr>
          </w:p>
        </w:tc>
        <w:tc>
          <w:tcPr>
            <w:tcW w:w="709" w:type="dxa"/>
            <w:vAlign w:val="bottom"/>
          </w:tcPr>
          <w:p w14:paraId="7E3C4A78" w14:textId="77777777" w:rsidR="00585366" w:rsidRDefault="00585366" w:rsidP="00585366">
            <w:pPr>
              <w:pStyle w:val="TableCell"/>
              <w:jc w:val="center"/>
            </w:pPr>
          </w:p>
        </w:tc>
      </w:tr>
      <w:tr w:rsidR="00585366" w:rsidRPr="00454399" w14:paraId="291E5E59"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649B2D5F"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 xml:space="preserve">Impact on Country’s Image </w:t>
            </w:r>
          </w:p>
        </w:tc>
        <w:tc>
          <w:tcPr>
            <w:tcW w:w="708" w:type="dxa"/>
            <w:vAlign w:val="bottom"/>
          </w:tcPr>
          <w:p w14:paraId="3028865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DB719AB" w14:textId="77777777" w:rsidR="00585366" w:rsidRPr="00B30BDA" w:rsidRDefault="00585366" w:rsidP="00585366">
            <w:pPr>
              <w:pStyle w:val="TableCell"/>
              <w:jc w:val="center"/>
              <w:rPr>
                <w:b/>
                <w:color w:val="5781B3"/>
              </w:rPr>
            </w:pPr>
            <w:r w:rsidRPr="00B30BDA">
              <w:rPr>
                <w:rFonts w:ascii="Wingdings" w:hAnsi="Wingdings"/>
                <w:b/>
                <w:color w:val="5781B3"/>
              </w:rPr>
              <w:sym w:font="Wingdings" w:char="F0FC"/>
            </w:r>
          </w:p>
        </w:tc>
        <w:tc>
          <w:tcPr>
            <w:tcW w:w="709" w:type="dxa"/>
            <w:vAlign w:val="bottom"/>
          </w:tcPr>
          <w:p w14:paraId="146068F9" w14:textId="77777777" w:rsidR="00585366" w:rsidRDefault="00585366" w:rsidP="00585366">
            <w:pPr>
              <w:pStyle w:val="TableCell"/>
              <w:jc w:val="center"/>
            </w:pPr>
          </w:p>
        </w:tc>
        <w:tc>
          <w:tcPr>
            <w:tcW w:w="709" w:type="dxa"/>
            <w:vAlign w:val="bottom"/>
          </w:tcPr>
          <w:p w14:paraId="51A7E69B" w14:textId="77777777" w:rsidR="00585366" w:rsidRDefault="00585366" w:rsidP="00585366">
            <w:pPr>
              <w:pStyle w:val="TableCell"/>
              <w:jc w:val="center"/>
            </w:pPr>
            <w:r>
              <w:rPr>
                <w:rFonts w:ascii="Wingdings" w:hAnsi="Wingdings"/>
              </w:rPr>
              <w:sym w:font="Wingdings" w:char="F0FC"/>
            </w:r>
          </w:p>
        </w:tc>
        <w:tc>
          <w:tcPr>
            <w:tcW w:w="708" w:type="dxa"/>
            <w:vAlign w:val="bottom"/>
          </w:tcPr>
          <w:p w14:paraId="3146B375" w14:textId="77777777" w:rsidR="00585366" w:rsidRDefault="00585366" w:rsidP="00585366">
            <w:pPr>
              <w:pStyle w:val="TableCell"/>
              <w:jc w:val="center"/>
            </w:pPr>
          </w:p>
        </w:tc>
        <w:tc>
          <w:tcPr>
            <w:tcW w:w="709" w:type="dxa"/>
            <w:vAlign w:val="bottom"/>
          </w:tcPr>
          <w:p w14:paraId="005F5F9B" w14:textId="77777777" w:rsidR="00585366" w:rsidRDefault="00585366" w:rsidP="00585366">
            <w:pPr>
              <w:pStyle w:val="TableCell"/>
              <w:jc w:val="center"/>
            </w:pPr>
          </w:p>
        </w:tc>
        <w:tc>
          <w:tcPr>
            <w:tcW w:w="709" w:type="dxa"/>
            <w:vAlign w:val="bottom"/>
          </w:tcPr>
          <w:p w14:paraId="65E37773" w14:textId="77777777" w:rsidR="00585366" w:rsidRDefault="00585366" w:rsidP="00585366">
            <w:pPr>
              <w:pStyle w:val="TableCell"/>
              <w:jc w:val="center"/>
            </w:pPr>
            <w:r>
              <w:rPr>
                <w:rFonts w:ascii="Wingdings" w:hAnsi="Wingdings"/>
              </w:rPr>
              <w:sym w:font="Wingdings" w:char="F0FC"/>
            </w:r>
          </w:p>
        </w:tc>
        <w:tc>
          <w:tcPr>
            <w:tcW w:w="709" w:type="dxa"/>
            <w:vAlign w:val="bottom"/>
          </w:tcPr>
          <w:p w14:paraId="626A752E" w14:textId="77777777" w:rsidR="00585366" w:rsidRDefault="00585366" w:rsidP="00585366">
            <w:pPr>
              <w:pStyle w:val="TableCell"/>
              <w:jc w:val="center"/>
            </w:pPr>
            <w:r>
              <w:rPr>
                <w:rFonts w:ascii="Wingdings" w:hAnsi="Wingdings"/>
              </w:rPr>
              <w:sym w:font="Wingdings" w:char="F0FC"/>
            </w:r>
          </w:p>
        </w:tc>
      </w:tr>
      <w:tr w:rsidR="00585366" w:rsidRPr="00454399" w14:paraId="6D29CF6E"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0D1640BF" w14:textId="77777777" w:rsidR="00585366" w:rsidRPr="002B194A" w:rsidRDefault="00585366" w:rsidP="00585366">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 xml:space="preserve">Impact on </w:t>
            </w:r>
            <w:r>
              <w:rPr>
                <w:rFonts w:ascii="Arial Narrow" w:hAnsi="Arial Narrow" w:cs="Arial"/>
                <w:color w:val="000000"/>
                <w:sz w:val="16"/>
                <w:szCs w:val="16"/>
              </w:rPr>
              <w:t>Local</w:t>
            </w:r>
            <w:r w:rsidRPr="002B194A">
              <w:rPr>
                <w:rFonts w:ascii="Arial Narrow" w:hAnsi="Arial Narrow" w:cs="Arial"/>
                <w:color w:val="000000"/>
                <w:sz w:val="16"/>
                <w:szCs w:val="16"/>
              </w:rPr>
              <w:t xml:space="preserve"> Firms’ Capacities</w:t>
            </w:r>
          </w:p>
        </w:tc>
        <w:tc>
          <w:tcPr>
            <w:tcW w:w="708" w:type="dxa"/>
            <w:vAlign w:val="bottom"/>
          </w:tcPr>
          <w:p w14:paraId="29BE8CA5" w14:textId="77777777" w:rsidR="00585366" w:rsidRPr="00B30BDA" w:rsidRDefault="00585366" w:rsidP="00585366">
            <w:pPr>
              <w:pStyle w:val="TableCell"/>
              <w:jc w:val="center"/>
              <w:rPr>
                <w:b/>
                <w:color w:val="5781B3"/>
              </w:rPr>
            </w:pPr>
          </w:p>
        </w:tc>
        <w:tc>
          <w:tcPr>
            <w:tcW w:w="709" w:type="dxa"/>
            <w:vAlign w:val="bottom"/>
          </w:tcPr>
          <w:p w14:paraId="0E2664B2" w14:textId="77777777" w:rsidR="00585366" w:rsidRPr="00B30BDA" w:rsidRDefault="00585366" w:rsidP="00585366">
            <w:pPr>
              <w:pStyle w:val="TableCell"/>
              <w:jc w:val="center"/>
              <w:rPr>
                <w:b/>
                <w:color w:val="5781B3"/>
              </w:rPr>
            </w:pPr>
          </w:p>
        </w:tc>
        <w:tc>
          <w:tcPr>
            <w:tcW w:w="709" w:type="dxa"/>
            <w:vAlign w:val="bottom"/>
          </w:tcPr>
          <w:p w14:paraId="71F1B077" w14:textId="77777777" w:rsidR="00585366" w:rsidRDefault="00585366" w:rsidP="00585366">
            <w:pPr>
              <w:pStyle w:val="TableCell"/>
              <w:jc w:val="center"/>
            </w:pPr>
            <w:r>
              <w:rPr>
                <w:rFonts w:ascii="Wingdings" w:hAnsi="Wingdings"/>
              </w:rPr>
              <w:sym w:font="Wingdings" w:char="F0FC"/>
            </w:r>
          </w:p>
        </w:tc>
        <w:tc>
          <w:tcPr>
            <w:tcW w:w="709" w:type="dxa"/>
            <w:vAlign w:val="bottom"/>
          </w:tcPr>
          <w:p w14:paraId="600BC116" w14:textId="77777777" w:rsidR="00585366" w:rsidRDefault="00585366" w:rsidP="00585366">
            <w:pPr>
              <w:pStyle w:val="TableCell"/>
              <w:jc w:val="center"/>
            </w:pPr>
            <w:r>
              <w:rPr>
                <w:rFonts w:ascii="Wingdings" w:hAnsi="Wingdings"/>
              </w:rPr>
              <w:sym w:font="Wingdings" w:char="F0FC"/>
            </w:r>
          </w:p>
        </w:tc>
        <w:tc>
          <w:tcPr>
            <w:tcW w:w="708" w:type="dxa"/>
            <w:vAlign w:val="bottom"/>
          </w:tcPr>
          <w:p w14:paraId="3DFB4C93" w14:textId="77777777" w:rsidR="00585366" w:rsidRDefault="00585366" w:rsidP="00585366">
            <w:pPr>
              <w:pStyle w:val="TableCell"/>
              <w:jc w:val="center"/>
            </w:pPr>
          </w:p>
        </w:tc>
        <w:tc>
          <w:tcPr>
            <w:tcW w:w="709" w:type="dxa"/>
            <w:vAlign w:val="bottom"/>
          </w:tcPr>
          <w:p w14:paraId="6CB5663C" w14:textId="77777777" w:rsidR="00585366" w:rsidRDefault="00585366" w:rsidP="00585366">
            <w:pPr>
              <w:pStyle w:val="TableCell"/>
              <w:jc w:val="center"/>
            </w:pPr>
          </w:p>
        </w:tc>
        <w:tc>
          <w:tcPr>
            <w:tcW w:w="709" w:type="dxa"/>
            <w:vAlign w:val="bottom"/>
          </w:tcPr>
          <w:p w14:paraId="06200CE7" w14:textId="77777777" w:rsidR="00585366" w:rsidRDefault="00585366" w:rsidP="00585366">
            <w:pPr>
              <w:pStyle w:val="TableCell"/>
              <w:jc w:val="center"/>
            </w:pPr>
            <w:r>
              <w:rPr>
                <w:rFonts w:ascii="Wingdings" w:hAnsi="Wingdings"/>
              </w:rPr>
              <w:sym w:font="Wingdings" w:char="F0FC"/>
            </w:r>
          </w:p>
        </w:tc>
        <w:tc>
          <w:tcPr>
            <w:tcW w:w="709" w:type="dxa"/>
            <w:vAlign w:val="bottom"/>
          </w:tcPr>
          <w:p w14:paraId="169BAC33" w14:textId="77777777" w:rsidR="00585366" w:rsidRDefault="00585366" w:rsidP="00585366">
            <w:pPr>
              <w:pStyle w:val="TableCell"/>
              <w:jc w:val="center"/>
            </w:pPr>
            <w:r>
              <w:rPr>
                <w:rFonts w:ascii="Wingdings" w:hAnsi="Wingdings"/>
              </w:rPr>
              <w:sym w:font="Wingdings" w:char="F0FC"/>
            </w:r>
          </w:p>
        </w:tc>
      </w:tr>
      <w:tr w:rsidR="00AB3383" w:rsidRPr="00454399" w14:paraId="6916F97B" w14:textId="77777777" w:rsidTr="00331DF9">
        <w:trPr>
          <w:cnfStyle w:val="000000010000" w:firstRow="0" w:lastRow="0" w:firstColumn="0" w:lastColumn="0" w:oddVBand="0" w:evenVBand="0" w:oddHBand="0" w:evenHBand="1" w:firstRowFirstColumn="0" w:firstRowLastColumn="0" w:lastRowFirstColumn="0" w:lastRowLastColumn="0"/>
        </w:trPr>
        <w:tc>
          <w:tcPr>
            <w:tcW w:w="2268" w:type="dxa"/>
            <w:vAlign w:val="center"/>
          </w:tcPr>
          <w:p w14:paraId="7807A3EC" w14:textId="77777777" w:rsidR="00AB3383" w:rsidRPr="002B194A" w:rsidRDefault="00AB3383" w:rsidP="00AB3383">
            <w:pPr>
              <w:keepNext/>
              <w:keepLines/>
              <w:jc w:val="left"/>
              <w:rPr>
                <w:rFonts w:ascii="Arial Narrow" w:hAnsi="Arial Narrow" w:cs="Arial"/>
                <w:color w:val="000000"/>
                <w:sz w:val="16"/>
                <w:szCs w:val="16"/>
              </w:rPr>
            </w:pPr>
            <w:r w:rsidRPr="002B194A">
              <w:rPr>
                <w:rFonts w:ascii="Arial Narrow" w:hAnsi="Arial Narrow" w:cs="Arial"/>
                <w:color w:val="000000"/>
                <w:sz w:val="16"/>
                <w:szCs w:val="16"/>
              </w:rPr>
              <w:t>Impact on Competition</w:t>
            </w:r>
          </w:p>
        </w:tc>
        <w:tc>
          <w:tcPr>
            <w:tcW w:w="708" w:type="dxa"/>
            <w:vAlign w:val="bottom"/>
          </w:tcPr>
          <w:p w14:paraId="58288367" w14:textId="77777777" w:rsidR="00AB3383" w:rsidRPr="00B30BDA" w:rsidRDefault="00AB3383" w:rsidP="00AB3383">
            <w:pPr>
              <w:pStyle w:val="TableCell"/>
              <w:jc w:val="center"/>
              <w:rPr>
                <w:b/>
                <w:color w:val="5781B3"/>
              </w:rPr>
            </w:pPr>
            <w:r w:rsidRPr="00B30BDA">
              <w:rPr>
                <w:rFonts w:ascii="Wingdings" w:hAnsi="Wingdings"/>
                <w:b/>
                <w:color w:val="5781B3"/>
              </w:rPr>
              <w:sym w:font="Wingdings" w:char="F0FC"/>
            </w:r>
          </w:p>
        </w:tc>
        <w:tc>
          <w:tcPr>
            <w:tcW w:w="709" w:type="dxa"/>
            <w:vAlign w:val="bottom"/>
          </w:tcPr>
          <w:p w14:paraId="2545EB33" w14:textId="77777777" w:rsidR="00AB3383" w:rsidRPr="00B30BDA" w:rsidRDefault="00AB3383" w:rsidP="00AB3383">
            <w:pPr>
              <w:pStyle w:val="TableCell"/>
              <w:jc w:val="center"/>
              <w:rPr>
                <w:b/>
                <w:color w:val="5781B3"/>
              </w:rPr>
            </w:pPr>
            <w:r w:rsidRPr="00B30BDA">
              <w:rPr>
                <w:rFonts w:ascii="Wingdings" w:hAnsi="Wingdings"/>
                <w:b/>
                <w:color w:val="5781B3"/>
              </w:rPr>
              <w:sym w:font="Wingdings" w:char="F0FC"/>
            </w:r>
          </w:p>
        </w:tc>
        <w:tc>
          <w:tcPr>
            <w:tcW w:w="709" w:type="dxa"/>
            <w:vAlign w:val="bottom"/>
          </w:tcPr>
          <w:p w14:paraId="065CC2C5" w14:textId="77777777" w:rsidR="00AB3383" w:rsidRDefault="00AB3383" w:rsidP="00AB3383">
            <w:pPr>
              <w:pStyle w:val="TableCell"/>
              <w:jc w:val="center"/>
            </w:pPr>
          </w:p>
        </w:tc>
        <w:tc>
          <w:tcPr>
            <w:tcW w:w="709" w:type="dxa"/>
            <w:vAlign w:val="bottom"/>
          </w:tcPr>
          <w:p w14:paraId="2FA8BEBB" w14:textId="77777777" w:rsidR="00AB3383" w:rsidRDefault="00AB3383" w:rsidP="00AB3383">
            <w:pPr>
              <w:pStyle w:val="TableCell"/>
              <w:jc w:val="center"/>
            </w:pPr>
          </w:p>
        </w:tc>
        <w:tc>
          <w:tcPr>
            <w:tcW w:w="708" w:type="dxa"/>
            <w:vAlign w:val="bottom"/>
          </w:tcPr>
          <w:p w14:paraId="77A9EA7D" w14:textId="77777777" w:rsidR="00AB3383" w:rsidRDefault="00AB3383" w:rsidP="00AB3383">
            <w:pPr>
              <w:pStyle w:val="TableCell"/>
              <w:jc w:val="center"/>
            </w:pPr>
          </w:p>
        </w:tc>
        <w:tc>
          <w:tcPr>
            <w:tcW w:w="709" w:type="dxa"/>
            <w:vAlign w:val="bottom"/>
          </w:tcPr>
          <w:p w14:paraId="4C95C674" w14:textId="77777777" w:rsidR="00AB3383" w:rsidRDefault="00AB3383" w:rsidP="00AB3383">
            <w:pPr>
              <w:pStyle w:val="TableCell"/>
              <w:jc w:val="center"/>
            </w:pPr>
            <w:r>
              <w:rPr>
                <w:rFonts w:ascii="Wingdings" w:hAnsi="Wingdings"/>
              </w:rPr>
              <w:sym w:font="Wingdings" w:char="F0FC"/>
            </w:r>
          </w:p>
        </w:tc>
        <w:tc>
          <w:tcPr>
            <w:tcW w:w="709" w:type="dxa"/>
            <w:vAlign w:val="bottom"/>
          </w:tcPr>
          <w:p w14:paraId="28EB3286" w14:textId="77777777" w:rsidR="00AB3383" w:rsidRDefault="00AB3383" w:rsidP="00AB3383">
            <w:pPr>
              <w:pStyle w:val="TableCell"/>
              <w:jc w:val="center"/>
            </w:pPr>
          </w:p>
        </w:tc>
        <w:tc>
          <w:tcPr>
            <w:tcW w:w="709" w:type="dxa"/>
            <w:vAlign w:val="bottom"/>
          </w:tcPr>
          <w:p w14:paraId="61FE051C" w14:textId="77777777" w:rsidR="00AB3383" w:rsidRDefault="00AB3383" w:rsidP="00AB3383">
            <w:pPr>
              <w:pStyle w:val="TableCell"/>
              <w:jc w:val="center"/>
            </w:pPr>
            <w:r>
              <w:rPr>
                <w:rFonts w:ascii="Wingdings" w:hAnsi="Wingdings"/>
              </w:rPr>
              <w:sym w:font="Wingdings" w:char="F0FC"/>
            </w:r>
          </w:p>
        </w:tc>
      </w:tr>
      <w:tr w:rsidR="00AB3383" w:rsidRPr="00454399" w14:paraId="707A9532" w14:textId="77777777" w:rsidTr="00331DF9">
        <w:trPr>
          <w:cnfStyle w:val="000000100000" w:firstRow="0" w:lastRow="0" w:firstColumn="0" w:lastColumn="0" w:oddVBand="0" w:evenVBand="0" w:oddHBand="1" w:evenHBand="0" w:firstRowFirstColumn="0" w:firstRowLastColumn="0" w:lastRowFirstColumn="0" w:lastRowLastColumn="0"/>
        </w:trPr>
        <w:tc>
          <w:tcPr>
            <w:tcW w:w="2268" w:type="dxa"/>
            <w:vAlign w:val="center"/>
          </w:tcPr>
          <w:p w14:paraId="316DDC9E" w14:textId="77777777" w:rsidR="00AB3383" w:rsidRPr="002B194A" w:rsidRDefault="00AB3383" w:rsidP="00AB3383">
            <w:pPr>
              <w:keepNext/>
              <w:keepLines/>
              <w:jc w:val="left"/>
              <w:rPr>
                <w:rFonts w:ascii="Arial Narrow" w:hAnsi="Arial Narrow" w:cs="Arial"/>
                <w:color w:val="000000"/>
                <w:sz w:val="16"/>
                <w:szCs w:val="16"/>
              </w:rPr>
            </w:pPr>
            <w:r>
              <w:rPr>
                <w:rFonts w:ascii="Arial Narrow" w:hAnsi="Arial Narrow" w:cs="Arial"/>
                <w:color w:val="000000"/>
                <w:sz w:val="16"/>
                <w:szCs w:val="16"/>
              </w:rPr>
              <w:t>Sustainability</w:t>
            </w:r>
          </w:p>
        </w:tc>
        <w:tc>
          <w:tcPr>
            <w:tcW w:w="708" w:type="dxa"/>
            <w:vAlign w:val="bottom"/>
          </w:tcPr>
          <w:p w14:paraId="5EB579AE" w14:textId="77777777" w:rsidR="00AB3383" w:rsidRPr="00B30BDA" w:rsidRDefault="00AB3383" w:rsidP="00AB3383">
            <w:pPr>
              <w:pStyle w:val="TableCell"/>
              <w:jc w:val="center"/>
              <w:rPr>
                <w:b/>
                <w:color w:val="5781B3"/>
              </w:rPr>
            </w:pPr>
            <w:r w:rsidRPr="00B30BDA">
              <w:rPr>
                <w:rFonts w:ascii="Wingdings" w:hAnsi="Wingdings"/>
                <w:b/>
                <w:color w:val="5781B3"/>
              </w:rPr>
              <w:sym w:font="Wingdings" w:char="F0FC"/>
            </w:r>
          </w:p>
        </w:tc>
        <w:tc>
          <w:tcPr>
            <w:tcW w:w="709" w:type="dxa"/>
            <w:vAlign w:val="bottom"/>
          </w:tcPr>
          <w:p w14:paraId="7309F1B5" w14:textId="77777777" w:rsidR="00AB3383" w:rsidRPr="00B30BDA" w:rsidRDefault="00AB3383" w:rsidP="00AB3383">
            <w:pPr>
              <w:pStyle w:val="TableCell"/>
              <w:jc w:val="center"/>
              <w:rPr>
                <w:b/>
                <w:color w:val="5781B3"/>
              </w:rPr>
            </w:pPr>
            <w:r w:rsidRPr="00B30BDA">
              <w:rPr>
                <w:rFonts w:ascii="Wingdings" w:hAnsi="Wingdings"/>
                <w:b/>
                <w:color w:val="5781B3"/>
              </w:rPr>
              <w:sym w:font="Wingdings" w:char="F0FC"/>
            </w:r>
          </w:p>
        </w:tc>
        <w:tc>
          <w:tcPr>
            <w:tcW w:w="709" w:type="dxa"/>
            <w:vAlign w:val="bottom"/>
          </w:tcPr>
          <w:p w14:paraId="5F8AA35D" w14:textId="77777777" w:rsidR="00AB3383" w:rsidRDefault="00AB3383" w:rsidP="00AB3383">
            <w:pPr>
              <w:pStyle w:val="TableCell"/>
              <w:jc w:val="center"/>
            </w:pPr>
            <w:r>
              <w:rPr>
                <w:rFonts w:ascii="Wingdings" w:hAnsi="Wingdings"/>
              </w:rPr>
              <w:sym w:font="Wingdings" w:char="F0FC"/>
            </w:r>
          </w:p>
        </w:tc>
        <w:tc>
          <w:tcPr>
            <w:tcW w:w="709" w:type="dxa"/>
            <w:vAlign w:val="bottom"/>
          </w:tcPr>
          <w:p w14:paraId="64AA154D" w14:textId="77777777" w:rsidR="00AB3383" w:rsidRDefault="00AB3383" w:rsidP="00AB3383">
            <w:pPr>
              <w:pStyle w:val="TableCell"/>
              <w:jc w:val="center"/>
            </w:pPr>
          </w:p>
        </w:tc>
        <w:tc>
          <w:tcPr>
            <w:tcW w:w="708" w:type="dxa"/>
            <w:vAlign w:val="bottom"/>
          </w:tcPr>
          <w:p w14:paraId="6C00281A" w14:textId="77777777" w:rsidR="00AB3383" w:rsidRDefault="00AB3383" w:rsidP="00AB3383">
            <w:pPr>
              <w:pStyle w:val="TableCell"/>
              <w:jc w:val="center"/>
            </w:pPr>
            <w:r>
              <w:rPr>
                <w:rFonts w:ascii="Wingdings" w:hAnsi="Wingdings"/>
              </w:rPr>
              <w:sym w:font="Wingdings" w:char="F0FC"/>
            </w:r>
          </w:p>
        </w:tc>
        <w:tc>
          <w:tcPr>
            <w:tcW w:w="709" w:type="dxa"/>
            <w:vAlign w:val="bottom"/>
          </w:tcPr>
          <w:p w14:paraId="5D0F5452" w14:textId="77777777" w:rsidR="00AB3383" w:rsidRDefault="00AB3383" w:rsidP="00AB3383">
            <w:pPr>
              <w:pStyle w:val="TableCell"/>
              <w:jc w:val="center"/>
            </w:pPr>
            <w:r>
              <w:rPr>
                <w:rFonts w:ascii="Wingdings" w:hAnsi="Wingdings"/>
              </w:rPr>
              <w:sym w:font="Wingdings" w:char="F0FC"/>
            </w:r>
          </w:p>
        </w:tc>
        <w:tc>
          <w:tcPr>
            <w:tcW w:w="709" w:type="dxa"/>
            <w:vAlign w:val="bottom"/>
          </w:tcPr>
          <w:p w14:paraId="3022B6C4" w14:textId="77777777" w:rsidR="00AB3383" w:rsidRDefault="00AB3383" w:rsidP="00AB3383">
            <w:pPr>
              <w:pStyle w:val="TableCell"/>
              <w:jc w:val="center"/>
            </w:pPr>
            <w:r>
              <w:rPr>
                <w:rFonts w:ascii="Wingdings" w:hAnsi="Wingdings"/>
              </w:rPr>
              <w:sym w:font="Wingdings" w:char="F0FC"/>
            </w:r>
          </w:p>
        </w:tc>
        <w:tc>
          <w:tcPr>
            <w:tcW w:w="709" w:type="dxa"/>
            <w:vAlign w:val="bottom"/>
          </w:tcPr>
          <w:p w14:paraId="3ECA4309" w14:textId="77777777" w:rsidR="00AB3383" w:rsidRDefault="00AB3383" w:rsidP="00AB3383">
            <w:pPr>
              <w:pStyle w:val="TableCell"/>
              <w:jc w:val="center"/>
            </w:pPr>
            <w:r>
              <w:rPr>
                <w:rFonts w:ascii="Wingdings" w:hAnsi="Wingdings"/>
              </w:rPr>
              <w:sym w:font="Wingdings" w:char="F0FC"/>
            </w:r>
          </w:p>
        </w:tc>
      </w:tr>
    </w:tbl>
    <w:p w14:paraId="759AE0D3" w14:textId="759759BE" w:rsidR="00664BCA" w:rsidRPr="00454399" w:rsidRDefault="000E705A" w:rsidP="00127F4F">
      <w:pPr>
        <w:pStyle w:val="Sourcenotes"/>
      </w:pPr>
      <w:r w:rsidRPr="00454399">
        <w:rPr>
          <w:i/>
        </w:rPr>
        <w:t>Source</w:t>
      </w:r>
      <w:r>
        <w:t>: OECD-IDB survey of Investment Promotion Agencies (2019).</w:t>
      </w:r>
    </w:p>
    <w:p w14:paraId="6B11448A" w14:textId="5F72FB96" w:rsidR="000A7FDD" w:rsidRDefault="007F7202" w:rsidP="00EA786E">
      <w:pPr>
        <w:pStyle w:val="Title3"/>
      </w:pPr>
      <w:r>
        <w:t>Investment promotion activities are comprehensive but not monitored</w:t>
      </w:r>
    </w:p>
    <w:p w14:paraId="2F7840DC" w14:textId="4E7AC6D0" w:rsidR="0005050B" w:rsidRDefault="0005050B" w:rsidP="0005050B">
      <w:pPr>
        <w:pStyle w:val="Para0"/>
      </w:pPr>
      <w:r>
        <w:t xml:space="preserve">All </w:t>
      </w:r>
      <w:r w:rsidR="009D24B3">
        <w:t xml:space="preserve">four of the surveyed </w:t>
      </w:r>
      <w:r>
        <w:t xml:space="preserve">IPAs in the region market their countries through websites and publish promotional materials such as brochures and investment guides. These two activities </w:t>
      </w:r>
      <w:r w:rsidR="009D24B3">
        <w:t>are</w:t>
      </w:r>
      <w:r>
        <w:t xml:space="preserve"> considered the fundamentals of image building. Having a website is a cost-efficient way</w:t>
      </w:r>
      <w:r w:rsidR="009D24B3">
        <w:t xml:space="preserve"> </w:t>
      </w:r>
      <w:r>
        <w:t>to offer centralised, available, up-to-date and key information for a large audience of potential</w:t>
      </w:r>
      <w:r w:rsidR="009D24B3">
        <w:t xml:space="preserve"> </w:t>
      </w:r>
      <w:r>
        <w:t>foreign investors. The absence of a website could potentially send the wrong signal to</w:t>
      </w:r>
      <w:r w:rsidR="009D24B3">
        <w:t xml:space="preserve"> </w:t>
      </w:r>
      <w:r>
        <w:t>investors about the investment climate on the ground. Investment guides and brochures are a</w:t>
      </w:r>
      <w:r w:rsidR="009D24B3">
        <w:t xml:space="preserve"> </w:t>
      </w:r>
      <w:r>
        <w:t>more traditional marketing tool. They provide the advantage to be more tailored in terms of</w:t>
      </w:r>
      <w:r w:rsidR="009D24B3">
        <w:t xml:space="preserve"> </w:t>
      </w:r>
      <w:r>
        <w:t>audience and contents and to remain cost-effective compared to TV and print advertising.</w:t>
      </w:r>
      <w:r w:rsidR="009D24B3">
        <w:t xml:space="preserve"> </w:t>
      </w:r>
      <w:r>
        <w:rPr>
          <w:rFonts w:cs="Times New Roman"/>
        </w:rPr>
        <w:t xml:space="preserve">IPAs often publish their brochures and investment guides on their </w:t>
      </w:r>
      <w:r>
        <w:rPr>
          <w:rFonts w:cs="Times New Roman"/>
        </w:rPr>
        <w:lastRenderedPageBreak/>
        <w:t>websites.</w:t>
      </w:r>
      <w:r w:rsidR="009D24B3">
        <w:rPr>
          <w:rFonts w:cs="Times New Roman"/>
        </w:rPr>
        <w:t xml:space="preserve"> The IPAs of Azerbaijan and Ukraine also make use of the relatively less common media advertising channels</w:t>
      </w:r>
      <w:r w:rsidR="00636319">
        <w:rPr>
          <w:rFonts w:cs="Times New Roman"/>
        </w:rPr>
        <w:t xml:space="preserve"> (e.g. TV, print or radio), which have the disadvantage of being relatively </w:t>
      </w:r>
      <w:r w:rsidR="00E959E9">
        <w:rPr>
          <w:rFonts w:cs="Times New Roman"/>
        </w:rPr>
        <w:t xml:space="preserve">very costly and </w:t>
      </w:r>
      <w:r w:rsidR="00636319">
        <w:rPr>
          <w:rFonts w:cs="Times New Roman"/>
        </w:rPr>
        <w:t>less targeted in terms of audience.</w:t>
      </w:r>
    </w:p>
    <w:p w14:paraId="0B0EF054" w14:textId="25A467D9" w:rsidR="002C59EB" w:rsidRDefault="002115BC" w:rsidP="002E28C3">
      <w:pPr>
        <w:pStyle w:val="Para0"/>
      </w:pPr>
      <w:r>
        <w:t>Investment generation is at the heart of investment promotion as the mission to locate investment projects in the host country is the core mandate of national IPAs</w:t>
      </w:r>
      <w:r w:rsidR="009A1771">
        <w:t>, and can hardly be outsourced</w:t>
      </w:r>
      <w:r>
        <w:t>. Unsurprisingly</w:t>
      </w:r>
      <w:r w:rsidR="00421460">
        <w:t xml:space="preserve">, the IPAs of </w:t>
      </w:r>
      <w:r w:rsidR="00E16572">
        <w:t>EaP</w:t>
      </w:r>
      <w:r w:rsidR="00421460">
        <w:t xml:space="preserve"> countries </w:t>
      </w:r>
      <w:r w:rsidR="002A5BB2">
        <w:t>wide</w:t>
      </w:r>
      <w:r>
        <w:t xml:space="preserve">ly undertake the investment generation </w:t>
      </w:r>
      <w:r w:rsidR="00421460">
        <w:t>activities</w:t>
      </w:r>
      <w:r>
        <w:t xml:space="preserve"> listed in the survey</w:t>
      </w:r>
      <w:r w:rsidR="00421460">
        <w:t xml:space="preserve">, </w:t>
      </w:r>
      <w:r w:rsidR="002D3AC8">
        <w:t xml:space="preserve">ranging from intelligence gathering and </w:t>
      </w:r>
      <w:r w:rsidR="002A5BB2">
        <w:t>sector-specific events</w:t>
      </w:r>
      <w:r w:rsidR="002D3AC8">
        <w:t xml:space="preserve"> to pro-active investor engagement</w:t>
      </w:r>
      <w:r w:rsidR="005228A4">
        <w:t xml:space="preserve"> (Table 3.5)</w:t>
      </w:r>
      <w:r w:rsidR="002D3AC8">
        <w:t>. All four IPAs actively contact investors, arrange one-to-one meetings and handle enquiries and requests, which are vital activities for investment generation. The agencies of Georgia and Ukraine have a relatively more compreh</w:t>
      </w:r>
      <w:r w:rsidR="002C59EB">
        <w:t>ensive menu of activities includ</w:t>
      </w:r>
      <w:r w:rsidR="002D3AC8">
        <w:t>ing also outward and inward missions, intelligence gathering and market studies, while the more resource constrained agencies of Azerbaijan and Belarus are less active in these areas.</w:t>
      </w:r>
      <w:r w:rsidR="00274C1D">
        <w:t xml:space="preserve"> </w:t>
      </w:r>
      <w:r w:rsidR="002C59EB">
        <w:t>Importantly, only Azerbaijan</w:t>
      </w:r>
      <w:r w:rsidR="00274C1D">
        <w:t xml:space="preserve">’s agency has in place a </w:t>
      </w:r>
      <w:r w:rsidR="00274C1D" w:rsidRPr="00274C1D">
        <w:t>Customer</w:t>
      </w:r>
      <w:r w:rsidR="00274C1D">
        <w:t xml:space="preserve"> Relationship Management </w:t>
      </w:r>
      <w:r w:rsidR="00274C1D" w:rsidRPr="00274C1D">
        <w:t>(CRM</w:t>
      </w:r>
      <w:r w:rsidR="00274C1D">
        <w:t>) system, and none of the four agencies track investment generation activities through such a system.</w:t>
      </w:r>
      <w:r w:rsidR="004A4538">
        <w:t xml:space="preserve"> This makes it very difficult to assess the effectiveness of existing tools and activities, and to reconsider how to better allocate r</w:t>
      </w:r>
      <w:r w:rsidR="003D0BB6">
        <w:t>esources across these activities.</w:t>
      </w:r>
      <w:r w:rsidR="00B73724">
        <w:t xml:space="preserve"> The agencies of </w:t>
      </w:r>
      <w:r w:rsidR="00E16572">
        <w:t>EaP</w:t>
      </w:r>
      <w:r w:rsidR="00B73724">
        <w:t xml:space="preserve"> countries should consider putting in place such a system to improve monitoring and effectiveness of investment promotion effo</w:t>
      </w:r>
      <w:r w:rsidR="000B78A3">
        <w:t>r</w:t>
      </w:r>
      <w:r w:rsidR="00B73724">
        <w:t>ts.</w:t>
      </w:r>
    </w:p>
    <w:p w14:paraId="6F1C82C6" w14:textId="0C62414E" w:rsidR="00BB393F" w:rsidRDefault="00BB393F" w:rsidP="00BB393F">
      <w:pPr>
        <w:pStyle w:val="Caption"/>
      </w:pPr>
      <w:bookmarkStart w:id="82" w:name="_Toc31983264"/>
      <w:bookmarkStart w:id="83" w:name="_Toc33443315"/>
      <w:r>
        <w:t xml:space="preserve">Table </w:t>
      </w:r>
      <w:fldSimple w:instr=" STYLEREF 1 \s ">
        <w:r w:rsidR="00DC4D16">
          <w:rPr>
            <w:noProof/>
          </w:rPr>
          <w:t>3</w:t>
        </w:r>
      </w:fldSimple>
      <w:r>
        <w:t>.</w:t>
      </w:r>
      <w:r>
        <w:rPr>
          <w:noProof/>
        </w:rPr>
        <w:fldChar w:fldCharType="begin"/>
      </w:r>
      <w:r>
        <w:rPr>
          <w:noProof/>
        </w:rPr>
        <w:instrText xml:space="preserve"> SEQ Table \* ARABIC \s 1 </w:instrText>
      </w:r>
      <w:r>
        <w:rPr>
          <w:noProof/>
        </w:rPr>
        <w:fldChar w:fldCharType="separate"/>
      </w:r>
      <w:r w:rsidR="00DC4D16">
        <w:rPr>
          <w:noProof/>
        </w:rPr>
        <w:t>5</w:t>
      </w:r>
      <w:r>
        <w:rPr>
          <w:noProof/>
        </w:rPr>
        <w:fldChar w:fldCharType="end"/>
      </w:r>
      <w:r>
        <w:t xml:space="preserve">. </w:t>
      </w:r>
      <w:r w:rsidR="001143D3">
        <w:t>Investment promotion activities of IPAs</w:t>
      </w:r>
      <w:bookmarkEnd w:id="82"/>
      <w:bookmarkEnd w:id="83"/>
    </w:p>
    <w:tbl>
      <w:tblPr>
        <w:tblStyle w:val="OECD"/>
        <w:tblW w:w="7937" w:type="dxa"/>
        <w:tblLook w:val="0420" w:firstRow="1" w:lastRow="0" w:firstColumn="0" w:lastColumn="0" w:noHBand="0" w:noVBand="1"/>
      </w:tblPr>
      <w:tblGrid>
        <w:gridCol w:w="2977"/>
        <w:gridCol w:w="992"/>
        <w:gridCol w:w="992"/>
        <w:gridCol w:w="992"/>
        <w:gridCol w:w="992"/>
        <w:gridCol w:w="992"/>
      </w:tblGrid>
      <w:tr w:rsidR="002115BC" w:rsidRPr="00421460" w14:paraId="313C54E0" w14:textId="77777777" w:rsidTr="002115BC">
        <w:trPr>
          <w:cnfStyle w:val="100000000000" w:firstRow="1" w:lastRow="0" w:firstColumn="0" w:lastColumn="0" w:oddVBand="0" w:evenVBand="0" w:oddHBand="0" w:evenHBand="0" w:firstRowFirstColumn="0" w:firstRowLastColumn="0" w:lastRowFirstColumn="0" w:lastRowLastColumn="0"/>
        </w:trPr>
        <w:tc>
          <w:tcPr>
            <w:tcW w:w="2977" w:type="dxa"/>
            <w:tcBorders>
              <w:bottom w:val="single" w:sz="4" w:space="0" w:color="auto"/>
            </w:tcBorders>
          </w:tcPr>
          <w:p w14:paraId="33D1E037" w14:textId="78547730" w:rsidR="002115BC" w:rsidRPr="00421460" w:rsidRDefault="002115BC" w:rsidP="002115BC">
            <w:pPr>
              <w:pStyle w:val="TableColumn"/>
              <w:jc w:val="left"/>
              <w:rPr>
                <w:lang w:val="en-GB"/>
              </w:rPr>
            </w:pPr>
            <w:r w:rsidRPr="00421460">
              <w:rPr>
                <w:lang w:val="en-GB"/>
              </w:rPr>
              <w:t>Activity</w:t>
            </w:r>
          </w:p>
        </w:tc>
        <w:tc>
          <w:tcPr>
            <w:tcW w:w="992" w:type="dxa"/>
            <w:tcBorders>
              <w:bottom w:val="single" w:sz="4" w:space="0" w:color="auto"/>
            </w:tcBorders>
          </w:tcPr>
          <w:p w14:paraId="5D2355BB" w14:textId="49D6FF84" w:rsidR="002115BC" w:rsidRPr="002115BC" w:rsidRDefault="002115BC" w:rsidP="002115BC">
            <w:pPr>
              <w:pStyle w:val="TableColumn"/>
            </w:pPr>
            <w:r w:rsidRPr="002115BC">
              <w:t>% of OECD IPAs</w:t>
            </w:r>
          </w:p>
        </w:tc>
        <w:tc>
          <w:tcPr>
            <w:tcW w:w="992" w:type="dxa"/>
            <w:tcBorders>
              <w:bottom w:val="single" w:sz="4" w:space="0" w:color="auto"/>
            </w:tcBorders>
          </w:tcPr>
          <w:p w14:paraId="1593623E" w14:textId="7E5D5218" w:rsidR="002115BC" w:rsidRPr="002115BC" w:rsidRDefault="002115BC" w:rsidP="002115BC">
            <w:pPr>
              <w:pStyle w:val="TableColumn"/>
            </w:pPr>
            <w:r w:rsidRPr="002115BC">
              <w:t>AZE</w:t>
            </w:r>
          </w:p>
        </w:tc>
        <w:tc>
          <w:tcPr>
            <w:tcW w:w="992" w:type="dxa"/>
            <w:tcBorders>
              <w:bottom w:val="single" w:sz="4" w:space="0" w:color="auto"/>
            </w:tcBorders>
          </w:tcPr>
          <w:p w14:paraId="522CAA35" w14:textId="14CB38EF" w:rsidR="002115BC" w:rsidRPr="002115BC" w:rsidRDefault="002115BC" w:rsidP="002115BC">
            <w:pPr>
              <w:pStyle w:val="TableColumn"/>
            </w:pPr>
            <w:r w:rsidRPr="002115BC">
              <w:t>BLR</w:t>
            </w:r>
          </w:p>
        </w:tc>
        <w:tc>
          <w:tcPr>
            <w:tcW w:w="992" w:type="dxa"/>
            <w:tcBorders>
              <w:bottom w:val="single" w:sz="4" w:space="0" w:color="auto"/>
            </w:tcBorders>
          </w:tcPr>
          <w:p w14:paraId="168A8A40" w14:textId="5353E2E5" w:rsidR="002115BC" w:rsidRPr="002115BC" w:rsidRDefault="002115BC" w:rsidP="002115BC">
            <w:pPr>
              <w:pStyle w:val="TableColumn"/>
            </w:pPr>
            <w:r w:rsidRPr="002115BC">
              <w:t>GEO</w:t>
            </w:r>
          </w:p>
        </w:tc>
        <w:tc>
          <w:tcPr>
            <w:tcW w:w="992" w:type="dxa"/>
            <w:tcBorders>
              <w:bottom w:val="single" w:sz="4" w:space="0" w:color="auto"/>
            </w:tcBorders>
          </w:tcPr>
          <w:p w14:paraId="5BE6684E" w14:textId="54343C43" w:rsidR="002115BC" w:rsidRPr="002115BC" w:rsidRDefault="002115BC" w:rsidP="002115BC">
            <w:pPr>
              <w:pStyle w:val="TableColumn"/>
            </w:pPr>
            <w:r w:rsidRPr="002115BC">
              <w:t>UKR</w:t>
            </w:r>
          </w:p>
        </w:tc>
      </w:tr>
      <w:tr w:rsidR="002115BC" w:rsidRPr="00421460" w14:paraId="5D13F467"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tcBorders>
            <w:vAlign w:val="bottom"/>
          </w:tcPr>
          <w:p w14:paraId="7290D55C" w14:textId="2CE92E34" w:rsidR="002115BC" w:rsidRPr="00421460" w:rsidRDefault="002115BC" w:rsidP="002115BC">
            <w:pPr>
              <w:pStyle w:val="TableRow"/>
              <w:rPr>
                <w:lang w:val="en-GB"/>
              </w:rPr>
            </w:pPr>
            <w:r w:rsidRPr="00421460">
              <w:rPr>
                <w:lang w:val="en-GB"/>
              </w:rPr>
              <w:t>intelligence gathering</w:t>
            </w:r>
          </w:p>
        </w:tc>
        <w:tc>
          <w:tcPr>
            <w:tcW w:w="992" w:type="dxa"/>
            <w:tcBorders>
              <w:top w:val="single" w:sz="4" w:space="0" w:color="auto"/>
            </w:tcBorders>
            <w:vAlign w:val="bottom"/>
          </w:tcPr>
          <w:p w14:paraId="30538749" w14:textId="58154AA3" w:rsidR="002115BC" w:rsidRPr="00421460" w:rsidRDefault="002115BC" w:rsidP="002115BC">
            <w:pPr>
              <w:pStyle w:val="TableCell"/>
              <w:jc w:val="center"/>
              <w:rPr>
                <w:rFonts w:ascii="Wingdings" w:hAnsi="Wingdings"/>
                <w:szCs w:val="17"/>
              </w:rPr>
            </w:pPr>
            <w:r>
              <w:t>100%</w:t>
            </w:r>
          </w:p>
        </w:tc>
        <w:tc>
          <w:tcPr>
            <w:tcW w:w="992" w:type="dxa"/>
            <w:tcBorders>
              <w:top w:val="single" w:sz="4" w:space="0" w:color="auto"/>
            </w:tcBorders>
            <w:vAlign w:val="bottom"/>
          </w:tcPr>
          <w:p w14:paraId="39562F45" w14:textId="2F9CE03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tcBorders>
              <w:top w:val="single" w:sz="4" w:space="0" w:color="auto"/>
            </w:tcBorders>
            <w:vAlign w:val="bottom"/>
          </w:tcPr>
          <w:p w14:paraId="3A6045DB" w14:textId="77777777" w:rsidR="002115BC" w:rsidRPr="00421460" w:rsidRDefault="002115BC" w:rsidP="002115BC">
            <w:pPr>
              <w:pStyle w:val="TableCell"/>
              <w:jc w:val="center"/>
              <w:rPr>
                <w:szCs w:val="17"/>
                <w:lang w:val="en-GB"/>
              </w:rPr>
            </w:pPr>
          </w:p>
        </w:tc>
        <w:tc>
          <w:tcPr>
            <w:tcW w:w="992" w:type="dxa"/>
            <w:tcBorders>
              <w:top w:val="single" w:sz="4" w:space="0" w:color="auto"/>
            </w:tcBorders>
            <w:vAlign w:val="bottom"/>
          </w:tcPr>
          <w:p w14:paraId="1A64A998" w14:textId="230330A5"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tcBorders>
              <w:top w:val="single" w:sz="4" w:space="0" w:color="auto"/>
            </w:tcBorders>
            <w:vAlign w:val="bottom"/>
          </w:tcPr>
          <w:p w14:paraId="22CAE730" w14:textId="32211203"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7CBC0150" w14:textId="77777777" w:rsidTr="00BE03AE">
        <w:trPr>
          <w:cnfStyle w:val="000000010000" w:firstRow="0" w:lastRow="0" w:firstColumn="0" w:lastColumn="0" w:oddVBand="0" w:evenVBand="0" w:oddHBand="0" w:evenHBand="1" w:firstRowFirstColumn="0" w:firstRowLastColumn="0" w:lastRowFirstColumn="0" w:lastRowLastColumn="0"/>
        </w:trPr>
        <w:tc>
          <w:tcPr>
            <w:tcW w:w="2977" w:type="dxa"/>
            <w:vAlign w:val="bottom"/>
          </w:tcPr>
          <w:p w14:paraId="6193F6B2" w14:textId="1BAB245A" w:rsidR="002115BC" w:rsidRPr="00421460" w:rsidRDefault="002115BC" w:rsidP="002115BC">
            <w:pPr>
              <w:pStyle w:val="TableRow"/>
              <w:rPr>
                <w:lang w:val="en-GB"/>
              </w:rPr>
            </w:pPr>
            <w:r w:rsidRPr="00421460">
              <w:rPr>
                <w:lang w:val="en-GB"/>
              </w:rPr>
              <w:t>raw data analysis</w:t>
            </w:r>
          </w:p>
        </w:tc>
        <w:tc>
          <w:tcPr>
            <w:tcW w:w="992" w:type="dxa"/>
            <w:vAlign w:val="bottom"/>
          </w:tcPr>
          <w:p w14:paraId="4F3D44A1" w14:textId="43DD2755" w:rsidR="002115BC" w:rsidRPr="00421460" w:rsidRDefault="002115BC" w:rsidP="002115BC">
            <w:pPr>
              <w:pStyle w:val="TableCell"/>
              <w:jc w:val="center"/>
              <w:rPr>
                <w:rFonts w:ascii="Wingdings" w:hAnsi="Wingdings"/>
                <w:szCs w:val="17"/>
              </w:rPr>
            </w:pPr>
            <w:r>
              <w:t>97%</w:t>
            </w:r>
          </w:p>
        </w:tc>
        <w:tc>
          <w:tcPr>
            <w:tcW w:w="992" w:type="dxa"/>
            <w:vAlign w:val="bottom"/>
          </w:tcPr>
          <w:p w14:paraId="046BFE5B" w14:textId="0F79D06B"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E09ADEB" w14:textId="48649E3B"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1461E771" w14:textId="2B3B11BC"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0AF89014" w14:textId="47EAE401"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2148AAC5"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vAlign w:val="bottom"/>
          </w:tcPr>
          <w:p w14:paraId="0991EC71" w14:textId="5AD67D54" w:rsidR="002115BC" w:rsidRPr="00421460" w:rsidRDefault="002115BC" w:rsidP="002115BC">
            <w:pPr>
              <w:pStyle w:val="TableRow"/>
              <w:rPr>
                <w:lang w:val="en-GB"/>
              </w:rPr>
            </w:pPr>
            <w:r w:rsidRPr="00421460">
              <w:rPr>
                <w:lang w:val="en-GB"/>
              </w:rPr>
              <w:t>market studies</w:t>
            </w:r>
          </w:p>
        </w:tc>
        <w:tc>
          <w:tcPr>
            <w:tcW w:w="992" w:type="dxa"/>
            <w:vAlign w:val="bottom"/>
          </w:tcPr>
          <w:p w14:paraId="23659904" w14:textId="163AB2BC" w:rsidR="002115BC" w:rsidRPr="00421460" w:rsidRDefault="002115BC" w:rsidP="002115BC">
            <w:pPr>
              <w:pStyle w:val="TableCell"/>
              <w:jc w:val="center"/>
              <w:rPr>
                <w:szCs w:val="17"/>
              </w:rPr>
            </w:pPr>
            <w:r>
              <w:t>90%</w:t>
            </w:r>
          </w:p>
        </w:tc>
        <w:tc>
          <w:tcPr>
            <w:tcW w:w="992" w:type="dxa"/>
            <w:vAlign w:val="bottom"/>
          </w:tcPr>
          <w:p w14:paraId="3E285250" w14:textId="7C7EB152" w:rsidR="002115BC" w:rsidRPr="00421460" w:rsidRDefault="002115BC" w:rsidP="002115BC">
            <w:pPr>
              <w:pStyle w:val="TableCell"/>
              <w:jc w:val="center"/>
              <w:rPr>
                <w:szCs w:val="17"/>
                <w:lang w:val="en-GB"/>
              </w:rPr>
            </w:pPr>
          </w:p>
        </w:tc>
        <w:tc>
          <w:tcPr>
            <w:tcW w:w="992" w:type="dxa"/>
            <w:vAlign w:val="bottom"/>
          </w:tcPr>
          <w:p w14:paraId="2BEAA7CC" w14:textId="2B66D5B0"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643403B1" w14:textId="311301A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A7E7B30" w14:textId="09FED4F5"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2E055796" w14:textId="77777777" w:rsidTr="00BE03AE">
        <w:trPr>
          <w:cnfStyle w:val="000000010000" w:firstRow="0" w:lastRow="0" w:firstColumn="0" w:lastColumn="0" w:oddVBand="0" w:evenVBand="0" w:oddHBand="0" w:evenHBand="1" w:firstRowFirstColumn="0" w:firstRowLastColumn="0" w:lastRowFirstColumn="0" w:lastRowLastColumn="0"/>
        </w:trPr>
        <w:tc>
          <w:tcPr>
            <w:tcW w:w="2977" w:type="dxa"/>
            <w:vAlign w:val="bottom"/>
          </w:tcPr>
          <w:p w14:paraId="01C25E10" w14:textId="4C93E862" w:rsidR="002115BC" w:rsidRPr="00421460" w:rsidRDefault="002115BC" w:rsidP="00FB08B6">
            <w:pPr>
              <w:pStyle w:val="TableRow"/>
              <w:rPr>
                <w:lang w:val="en-GB"/>
              </w:rPr>
            </w:pPr>
            <w:r w:rsidRPr="00421460">
              <w:rPr>
                <w:lang w:val="en-GB"/>
              </w:rPr>
              <w:t xml:space="preserve">attending </w:t>
            </w:r>
            <w:r w:rsidR="00FB08B6">
              <w:rPr>
                <w:lang w:val="en-GB"/>
              </w:rPr>
              <w:t>sector-specific events</w:t>
            </w:r>
            <w:r w:rsidRPr="00421460">
              <w:rPr>
                <w:lang w:val="en-GB"/>
              </w:rPr>
              <w:t xml:space="preserve"> abroad</w:t>
            </w:r>
          </w:p>
        </w:tc>
        <w:tc>
          <w:tcPr>
            <w:tcW w:w="992" w:type="dxa"/>
            <w:vAlign w:val="bottom"/>
          </w:tcPr>
          <w:p w14:paraId="4E541D6F" w14:textId="2440C436" w:rsidR="002115BC" w:rsidRPr="00421460" w:rsidRDefault="002115BC" w:rsidP="002115BC">
            <w:pPr>
              <w:pStyle w:val="TableCell"/>
              <w:jc w:val="center"/>
              <w:rPr>
                <w:rFonts w:ascii="Wingdings" w:hAnsi="Wingdings"/>
                <w:szCs w:val="17"/>
              </w:rPr>
            </w:pPr>
            <w:r>
              <w:t>97%</w:t>
            </w:r>
          </w:p>
        </w:tc>
        <w:tc>
          <w:tcPr>
            <w:tcW w:w="992" w:type="dxa"/>
            <w:vAlign w:val="bottom"/>
          </w:tcPr>
          <w:p w14:paraId="189F4B48" w14:textId="7612E7D0"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217B6DE" w14:textId="3C99C5CA"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52CF257C" w14:textId="754A1A9A"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6FDDE0C8" w14:textId="0366BE7D"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614338EA"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vAlign w:val="bottom"/>
          </w:tcPr>
          <w:p w14:paraId="1DFDE3F2" w14:textId="48A9FE56" w:rsidR="002115BC" w:rsidRPr="00421460" w:rsidRDefault="002115BC" w:rsidP="002115BC">
            <w:pPr>
              <w:pStyle w:val="TableRow"/>
              <w:rPr>
                <w:lang w:val="en-GB"/>
              </w:rPr>
            </w:pPr>
            <w:r w:rsidRPr="00421460">
              <w:rPr>
                <w:lang w:val="en-GB"/>
              </w:rPr>
              <w:t xml:space="preserve">attending </w:t>
            </w:r>
            <w:r w:rsidR="00FB08B6">
              <w:rPr>
                <w:lang w:val="en-GB"/>
              </w:rPr>
              <w:t xml:space="preserve">sector-specific </w:t>
            </w:r>
            <w:r w:rsidRPr="00421460">
              <w:rPr>
                <w:lang w:val="en-GB"/>
              </w:rPr>
              <w:t>at home</w:t>
            </w:r>
          </w:p>
        </w:tc>
        <w:tc>
          <w:tcPr>
            <w:tcW w:w="992" w:type="dxa"/>
            <w:vAlign w:val="bottom"/>
          </w:tcPr>
          <w:p w14:paraId="115FF109" w14:textId="63B41BA4" w:rsidR="002115BC" w:rsidRPr="00421460" w:rsidRDefault="002115BC" w:rsidP="002115BC">
            <w:pPr>
              <w:pStyle w:val="TableCell"/>
              <w:jc w:val="center"/>
              <w:rPr>
                <w:rFonts w:ascii="Wingdings" w:hAnsi="Wingdings"/>
                <w:szCs w:val="17"/>
              </w:rPr>
            </w:pPr>
            <w:r>
              <w:t>94%</w:t>
            </w:r>
          </w:p>
        </w:tc>
        <w:tc>
          <w:tcPr>
            <w:tcW w:w="992" w:type="dxa"/>
            <w:vAlign w:val="bottom"/>
          </w:tcPr>
          <w:p w14:paraId="301E7536" w14:textId="0BFA035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1B83583C" w14:textId="5B9D1C5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18DCB171" w14:textId="35561B77" w:rsidR="002115BC" w:rsidRPr="00421460" w:rsidRDefault="002115BC" w:rsidP="002115BC">
            <w:pPr>
              <w:pStyle w:val="TableCell"/>
              <w:jc w:val="center"/>
              <w:rPr>
                <w:szCs w:val="17"/>
                <w:lang w:val="en-GB"/>
              </w:rPr>
            </w:pPr>
          </w:p>
        </w:tc>
        <w:tc>
          <w:tcPr>
            <w:tcW w:w="992" w:type="dxa"/>
            <w:vAlign w:val="bottom"/>
          </w:tcPr>
          <w:p w14:paraId="65900601" w14:textId="17F06A49"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7E3FF57C" w14:textId="77777777" w:rsidTr="00BE03AE">
        <w:trPr>
          <w:cnfStyle w:val="000000010000" w:firstRow="0" w:lastRow="0" w:firstColumn="0" w:lastColumn="0" w:oddVBand="0" w:evenVBand="0" w:oddHBand="0" w:evenHBand="1" w:firstRowFirstColumn="0" w:firstRowLastColumn="0" w:lastRowFirstColumn="0" w:lastRowLastColumn="0"/>
        </w:trPr>
        <w:tc>
          <w:tcPr>
            <w:tcW w:w="2977" w:type="dxa"/>
            <w:vAlign w:val="bottom"/>
          </w:tcPr>
          <w:p w14:paraId="50E1D39C" w14:textId="589E0FAA" w:rsidR="002115BC" w:rsidRPr="00421460" w:rsidRDefault="002115BC" w:rsidP="002115BC">
            <w:pPr>
              <w:pStyle w:val="TableRow"/>
              <w:rPr>
                <w:lang w:val="en-GB"/>
              </w:rPr>
            </w:pPr>
            <w:r w:rsidRPr="00421460">
              <w:rPr>
                <w:lang w:val="en-GB"/>
              </w:rPr>
              <w:t>organising missions abroad</w:t>
            </w:r>
          </w:p>
        </w:tc>
        <w:tc>
          <w:tcPr>
            <w:tcW w:w="992" w:type="dxa"/>
            <w:vAlign w:val="bottom"/>
          </w:tcPr>
          <w:p w14:paraId="508EA08E" w14:textId="0F953C1F" w:rsidR="002115BC" w:rsidRPr="00421460" w:rsidRDefault="002115BC" w:rsidP="002115BC">
            <w:pPr>
              <w:pStyle w:val="TableCell"/>
              <w:jc w:val="center"/>
              <w:rPr>
                <w:szCs w:val="17"/>
              </w:rPr>
            </w:pPr>
            <w:r>
              <w:t>97%</w:t>
            </w:r>
          </w:p>
        </w:tc>
        <w:tc>
          <w:tcPr>
            <w:tcW w:w="992" w:type="dxa"/>
            <w:vAlign w:val="bottom"/>
          </w:tcPr>
          <w:p w14:paraId="027FEEED" w14:textId="28AEAF7A" w:rsidR="002115BC" w:rsidRPr="00421460" w:rsidRDefault="002115BC" w:rsidP="002115BC">
            <w:pPr>
              <w:pStyle w:val="TableCell"/>
              <w:jc w:val="center"/>
              <w:rPr>
                <w:szCs w:val="17"/>
                <w:lang w:val="en-GB"/>
              </w:rPr>
            </w:pPr>
          </w:p>
        </w:tc>
        <w:tc>
          <w:tcPr>
            <w:tcW w:w="992" w:type="dxa"/>
            <w:vAlign w:val="bottom"/>
          </w:tcPr>
          <w:p w14:paraId="00FDB91E" w14:textId="20D912E0" w:rsidR="002115BC" w:rsidRPr="00421460" w:rsidRDefault="002115BC" w:rsidP="002115BC">
            <w:pPr>
              <w:pStyle w:val="TableCell"/>
              <w:jc w:val="center"/>
              <w:rPr>
                <w:szCs w:val="17"/>
                <w:lang w:val="en-GB"/>
              </w:rPr>
            </w:pPr>
          </w:p>
        </w:tc>
        <w:tc>
          <w:tcPr>
            <w:tcW w:w="992" w:type="dxa"/>
            <w:vAlign w:val="bottom"/>
          </w:tcPr>
          <w:p w14:paraId="20B35E2A" w14:textId="543A8DF4"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1C302674" w14:textId="60567D90"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4A293AC5"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vAlign w:val="bottom"/>
          </w:tcPr>
          <w:p w14:paraId="76B98739" w14:textId="54EE7B45" w:rsidR="002115BC" w:rsidRPr="00421460" w:rsidRDefault="002115BC" w:rsidP="002115BC">
            <w:pPr>
              <w:pStyle w:val="TableRow"/>
              <w:rPr>
                <w:lang w:val="en-GB"/>
              </w:rPr>
            </w:pPr>
            <w:r w:rsidRPr="00421460">
              <w:rPr>
                <w:lang w:val="en-GB"/>
              </w:rPr>
              <w:t>hosting incoming missions</w:t>
            </w:r>
          </w:p>
        </w:tc>
        <w:tc>
          <w:tcPr>
            <w:tcW w:w="992" w:type="dxa"/>
            <w:vAlign w:val="bottom"/>
          </w:tcPr>
          <w:p w14:paraId="72934F21" w14:textId="6B30270F" w:rsidR="002115BC" w:rsidRPr="00421460" w:rsidRDefault="002115BC" w:rsidP="002115BC">
            <w:pPr>
              <w:pStyle w:val="TableCell"/>
              <w:jc w:val="center"/>
              <w:rPr>
                <w:rFonts w:ascii="Wingdings" w:hAnsi="Wingdings"/>
                <w:szCs w:val="17"/>
              </w:rPr>
            </w:pPr>
            <w:r>
              <w:t>90%</w:t>
            </w:r>
          </w:p>
        </w:tc>
        <w:tc>
          <w:tcPr>
            <w:tcW w:w="992" w:type="dxa"/>
            <w:vAlign w:val="bottom"/>
          </w:tcPr>
          <w:p w14:paraId="468590F7" w14:textId="0AB23B22"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0D1725EE" w14:textId="367DE7D8" w:rsidR="002115BC" w:rsidRPr="00421460" w:rsidRDefault="002115BC" w:rsidP="002115BC">
            <w:pPr>
              <w:pStyle w:val="TableCell"/>
              <w:jc w:val="center"/>
              <w:rPr>
                <w:szCs w:val="17"/>
                <w:lang w:val="en-GB"/>
              </w:rPr>
            </w:pPr>
          </w:p>
        </w:tc>
        <w:tc>
          <w:tcPr>
            <w:tcW w:w="992" w:type="dxa"/>
            <w:vAlign w:val="bottom"/>
          </w:tcPr>
          <w:p w14:paraId="4C16D8E7" w14:textId="459D467C"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238BEDA9" w14:textId="1E7F68F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6B128196" w14:textId="77777777" w:rsidTr="00BE03AE">
        <w:trPr>
          <w:cnfStyle w:val="000000010000" w:firstRow="0" w:lastRow="0" w:firstColumn="0" w:lastColumn="0" w:oddVBand="0" w:evenVBand="0" w:oddHBand="0" w:evenHBand="1" w:firstRowFirstColumn="0" w:firstRowLastColumn="0" w:lastRowFirstColumn="0" w:lastRowLastColumn="0"/>
        </w:trPr>
        <w:tc>
          <w:tcPr>
            <w:tcW w:w="2977" w:type="dxa"/>
            <w:vAlign w:val="bottom"/>
          </w:tcPr>
          <w:p w14:paraId="2867DEED" w14:textId="2348494A" w:rsidR="002115BC" w:rsidRPr="00421460" w:rsidRDefault="002115BC" w:rsidP="002115BC">
            <w:pPr>
              <w:pStyle w:val="TableRow"/>
              <w:rPr>
                <w:lang w:val="en-GB"/>
              </w:rPr>
            </w:pPr>
            <w:r w:rsidRPr="00421460">
              <w:rPr>
                <w:lang w:val="en-GB"/>
              </w:rPr>
              <w:t>direct contacts with investors</w:t>
            </w:r>
          </w:p>
        </w:tc>
        <w:tc>
          <w:tcPr>
            <w:tcW w:w="992" w:type="dxa"/>
            <w:vAlign w:val="bottom"/>
          </w:tcPr>
          <w:p w14:paraId="429259C6" w14:textId="31575453" w:rsidR="002115BC" w:rsidRPr="00421460" w:rsidRDefault="002115BC" w:rsidP="002115BC">
            <w:pPr>
              <w:pStyle w:val="TableCell"/>
              <w:jc w:val="center"/>
              <w:rPr>
                <w:rFonts w:ascii="Wingdings" w:hAnsi="Wingdings"/>
                <w:szCs w:val="17"/>
              </w:rPr>
            </w:pPr>
            <w:r>
              <w:t>100%</w:t>
            </w:r>
          </w:p>
        </w:tc>
        <w:tc>
          <w:tcPr>
            <w:tcW w:w="992" w:type="dxa"/>
            <w:vAlign w:val="bottom"/>
          </w:tcPr>
          <w:p w14:paraId="33DFE238" w14:textId="184FA5A5"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2EF65A0F" w14:textId="1F21423B"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BE9B183" w14:textId="6269A3E6"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0F4BD40C" w14:textId="647CEF9D"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457F4383"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vAlign w:val="bottom"/>
          </w:tcPr>
          <w:p w14:paraId="40023E4B" w14:textId="56E8D701" w:rsidR="002115BC" w:rsidRPr="00421460" w:rsidRDefault="001A3F90" w:rsidP="002115BC">
            <w:pPr>
              <w:pStyle w:val="TableRow"/>
              <w:rPr>
                <w:lang w:val="en-GB"/>
              </w:rPr>
            </w:pPr>
            <w:r>
              <w:rPr>
                <w:lang w:val="en-GB"/>
              </w:rPr>
              <w:t xml:space="preserve">Initiating </w:t>
            </w:r>
            <w:r w:rsidR="002115BC" w:rsidRPr="00421460">
              <w:rPr>
                <w:lang w:val="en-GB"/>
              </w:rPr>
              <w:t>one-to-one meetings</w:t>
            </w:r>
          </w:p>
        </w:tc>
        <w:tc>
          <w:tcPr>
            <w:tcW w:w="992" w:type="dxa"/>
            <w:vAlign w:val="bottom"/>
          </w:tcPr>
          <w:p w14:paraId="7E3D08A9" w14:textId="7E4AC0F3" w:rsidR="002115BC" w:rsidRPr="00421460" w:rsidRDefault="002115BC" w:rsidP="002115BC">
            <w:pPr>
              <w:pStyle w:val="TableCell"/>
              <w:jc w:val="center"/>
              <w:rPr>
                <w:rFonts w:ascii="Wingdings" w:hAnsi="Wingdings"/>
                <w:szCs w:val="17"/>
              </w:rPr>
            </w:pPr>
            <w:r>
              <w:t>97%</w:t>
            </w:r>
          </w:p>
        </w:tc>
        <w:tc>
          <w:tcPr>
            <w:tcW w:w="992" w:type="dxa"/>
            <w:vAlign w:val="bottom"/>
          </w:tcPr>
          <w:p w14:paraId="311CA52E" w14:textId="038AC891"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2F998B3" w14:textId="11101F8E"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2C63CD57" w14:textId="6F8259FD"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0BC952EF" w14:textId="3BDA6763"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29D6862C" w14:textId="77777777" w:rsidTr="00BE03AE">
        <w:trPr>
          <w:cnfStyle w:val="000000010000" w:firstRow="0" w:lastRow="0" w:firstColumn="0" w:lastColumn="0" w:oddVBand="0" w:evenVBand="0" w:oddHBand="0" w:evenHBand="1" w:firstRowFirstColumn="0" w:firstRowLastColumn="0" w:lastRowFirstColumn="0" w:lastRowLastColumn="0"/>
        </w:trPr>
        <w:tc>
          <w:tcPr>
            <w:tcW w:w="2977" w:type="dxa"/>
            <w:vAlign w:val="bottom"/>
          </w:tcPr>
          <w:p w14:paraId="3CCDFD74" w14:textId="14223367" w:rsidR="002115BC" w:rsidRPr="00421460" w:rsidRDefault="002115BC" w:rsidP="002115BC">
            <w:pPr>
              <w:pStyle w:val="TableRow"/>
              <w:rPr>
                <w:lang w:val="en-GB"/>
              </w:rPr>
            </w:pPr>
            <w:r w:rsidRPr="00421460">
              <w:rPr>
                <w:lang w:val="en-GB"/>
              </w:rPr>
              <w:t xml:space="preserve">pro-active </w:t>
            </w:r>
            <w:r w:rsidR="0075712C">
              <w:rPr>
                <w:lang w:val="en-GB"/>
              </w:rPr>
              <w:t xml:space="preserve">email/ phone </w:t>
            </w:r>
            <w:r w:rsidRPr="00421460">
              <w:rPr>
                <w:lang w:val="en-GB"/>
              </w:rPr>
              <w:t>campaigns</w:t>
            </w:r>
          </w:p>
        </w:tc>
        <w:tc>
          <w:tcPr>
            <w:tcW w:w="992" w:type="dxa"/>
            <w:vAlign w:val="bottom"/>
          </w:tcPr>
          <w:p w14:paraId="4DBC4853" w14:textId="14D93173" w:rsidR="002115BC" w:rsidRPr="00421460" w:rsidRDefault="002115BC" w:rsidP="002115BC">
            <w:pPr>
              <w:pStyle w:val="TableCell"/>
              <w:jc w:val="center"/>
              <w:rPr>
                <w:rFonts w:ascii="Wingdings" w:hAnsi="Wingdings"/>
                <w:szCs w:val="17"/>
              </w:rPr>
            </w:pPr>
            <w:r>
              <w:t>87%</w:t>
            </w:r>
          </w:p>
        </w:tc>
        <w:tc>
          <w:tcPr>
            <w:tcW w:w="992" w:type="dxa"/>
            <w:vAlign w:val="bottom"/>
          </w:tcPr>
          <w:p w14:paraId="45810CED" w14:textId="06823F1F"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02D9CC60" w14:textId="0615F63C"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78821E0B" w14:textId="32A4BBE5"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32C77B6B" w14:textId="610141B3"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r w:rsidR="002115BC" w:rsidRPr="00421460" w14:paraId="55097A23" w14:textId="77777777" w:rsidTr="00BE03AE">
        <w:trPr>
          <w:cnfStyle w:val="000000100000" w:firstRow="0" w:lastRow="0" w:firstColumn="0" w:lastColumn="0" w:oddVBand="0" w:evenVBand="0" w:oddHBand="1" w:evenHBand="0" w:firstRowFirstColumn="0" w:firstRowLastColumn="0" w:lastRowFirstColumn="0" w:lastRowLastColumn="0"/>
        </w:trPr>
        <w:tc>
          <w:tcPr>
            <w:tcW w:w="2977" w:type="dxa"/>
            <w:vAlign w:val="bottom"/>
          </w:tcPr>
          <w:p w14:paraId="46381FB7" w14:textId="2EC5F412" w:rsidR="002115BC" w:rsidRPr="00421460" w:rsidRDefault="002115BC" w:rsidP="002115BC">
            <w:pPr>
              <w:pStyle w:val="TableRow"/>
              <w:rPr>
                <w:lang w:val="en-GB"/>
              </w:rPr>
            </w:pPr>
            <w:r w:rsidRPr="00421460">
              <w:rPr>
                <w:lang w:val="en-GB"/>
              </w:rPr>
              <w:t>enquiry/</w:t>
            </w:r>
            <w:r w:rsidR="0075712C">
              <w:rPr>
                <w:lang w:val="en-GB"/>
              </w:rPr>
              <w:t xml:space="preserve"> </w:t>
            </w:r>
            <w:r w:rsidRPr="00421460">
              <w:rPr>
                <w:lang w:val="en-GB"/>
              </w:rPr>
              <w:t>request handling</w:t>
            </w:r>
          </w:p>
        </w:tc>
        <w:tc>
          <w:tcPr>
            <w:tcW w:w="992" w:type="dxa"/>
            <w:vAlign w:val="bottom"/>
          </w:tcPr>
          <w:p w14:paraId="77F27AE6" w14:textId="6B4AD653" w:rsidR="002115BC" w:rsidRPr="00421460" w:rsidRDefault="002115BC" w:rsidP="002115BC">
            <w:pPr>
              <w:pStyle w:val="TableCell"/>
              <w:jc w:val="center"/>
              <w:rPr>
                <w:rFonts w:ascii="Wingdings" w:hAnsi="Wingdings"/>
                <w:szCs w:val="17"/>
              </w:rPr>
            </w:pPr>
            <w:r>
              <w:t>90%</w:t>
            </w:r>
          </w:p>
        </w:tc>
        <w:tc>
          <w:tcPr>
            <w:tcW w:w="992" w:type="dxa"/>
            <w:vAlign w:val="bottom"/>
          </w:tcPr>
          <w:p w14:paraId="72259501" w14:textId="4B2F7D9B"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26D24C4A" w14:textId="007A1A92"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6CC56F59" w14:textId="675A010B"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c>
          <w:tcPr>
            <w:tcW w:w="992" w:type="dxa"/>
            <w:vAlign w:val="bottom"/>
          </w:tcPr>
          <w:p w14:paraId="6D4D9992" w14:textId="70BAF7F5" w:rsidR="002115BC" w:rsidRPr="00421460" w:rsidRDefault="002115BC" w:rsidP="002115BC">
            <w:pPr>
              <w:pStyle w:val="TableCell"/>
              <w:jc w:val="center"/>
              <w:rPr>
                <w:szCs w:val="17"/>
                <w:lang w:val="en-GB"/>
              </w:rPr>
            </w:pPr>
            <w:r w:rsidRPr="00421460">
              <w:rPr>
                <w:rFonts w:ascii="Wingdings" w:hAnsi="Wingdings" w:cs="Arial"/>
                <w:color w:val="000000"/>
                <w:szCs w:val="17"/>
                <w:lang w:val="en-GB"/>
              </w:rPr>
              <w:t></w:t>
            </w:r>
          </w:p>
        </w:tc>
      </w:tr>
    </w:tbl>
    <w:p w14:paraId="169374A4" w14:textId="77777777" w:rsidR="00A50BDE" w:rsidRDefault="00A50BDE" w:rsidP="00A50BDE">
      <w:pPr>
        <w:pStyle w:val="Sourcenotes"/>
      </w:pPr>
      <w:r w:rsidRPr="00754E52">
        <w:rPr>
          <w:i/>
        </w:rPr>
        <w:t>Source</w:t>
      </w:r>
      <w:r w:rsidRPr="00754E52">
        <w:t>: OECD-IDB IPA survey of Investment Promotion Agencies (2019)</w:t>
      </w:r>
      <w:r>
        <w:t>.</w:t>
      </w:r>
    </w:p>
    <w:p w14:paraId="54083B45" w14:textId="002A25EA" w:rsidR="00EE5CC1" w:rsidRDefault="00E959E9" w:rsidP="00503C6C">
      <w:pPr>
        <w:pStyle w:val="Para0"/>
      </w:pPr>
      <w:r>
        <w:t>P</w:t>
      </w:r>
      <w:r w:rsidR="00503C6C">
        <w:t>referential tax regimes and economic zones are commonly used tool to attract new investment, and potentially to influence the size, location and industry of investors. These special regimes</w:t>
      </w:r>
      <w:r w:rsidR="00503C6C" w:rsidRPr="00555CA5">
        <w:t xml:space="preserve"> are used </w:t>
      </w:r>
      <w:r w:rsidR="00503C6C">
        <w:t>across the globe, but are particularly relevant in developing and emerging economies, and are discussed at length in Chapter 4.</w:t>
      </w:r>
    </w:p>
    <w:p w14:paraId="25342502" w14:textId="249029DF" w:rsidR="00FF7BB1" w:rsidRDefault="00FF7BB1" w:rsidP="00FF7BB1">
      <w:pPr>
        <w:pStyle w:val="Heading2"/>
        <w:rPr>
          <w:rFonts w:hint="eastAsia"/>
        </w:rPr>
      </w:pPr>
      <w:bookmarkStart w:id="84" w:name="_Toc31228352"/>
      <w:bookmarkStart w:id="85" w:name="_Toc31983286"/>
      <w:bookmarkStart w:id="86" w:name="_Toc33443297"/>
      <w:r w:rsidRPr="00FF7BB1">
        <w:t xml:space="preserve">Investment facilitation </w:t>
      </w:r>
      <w:bookmarkEnd w:id="84"/>
      <w:r w:rsidR="005301C6">
        <w:t>and retention</w:t>
      </w:r>
      <w:r w:rsidR="00967471">
        <w:t xml:space="preserve"> measures</w:t>
      </w:r>
      <w:r w:rsidR="005301C6">
        <w:t xml:space="preserve"> </w:t>
      </w:r>
      <w:r w:rsidR="00967471">
        <w:t>have improved</w:t>
      </w:r>
      <w:bookmarkEnd w:id="85"/>
      <w:bookmarkEnd w:id="86"/>
      <w:r w:rsidR="00967471">
        <w:t xml:space="preserve"> </w:t>
      </w:r>
    </w:p>
    <w:p w14:paraId="580DF3CE" w14:textId="76EEBF26" w:rsidR="006B2A75" w:rsidRDefault="00740AA5" w:rsidP="00FB08B6">
      <w:pPr>
        <w:pStyle w:val="Para0"/>
      </w:pPr>
      <w:r w:rsidRPr="008A3404">
        <w:t>Investment facilitation starts when an invest</w:t>
      </w:r>
      <w:r>
        <w:t>or shows interest in a location. It includes</w:t>
      </w:r>
      <w:r w:rsidRPr="008A3404">
        <w:t xml:space="preserve"> </w:t>
      </w:r>
      <w:r>
        <w:t>the way</w:t>
      </w:r>
      <w:r w:rsidRPr="008A3404">
        <w:t xml:space="preserve"> enquiries are handled by the relevant authorities</w:t>
      </w:r>
      <w:r>
        <w:t>, notably</w:t>
      </w:r>
      <w:r w:rsidRPr="008A3404">
        <w:t xml:space="preserve"> the IPA</w:t>
      </w:r>
      <w:r>
        <w:t>, and measures to reduce potential obstacles</w:t>
      </w:r>
      <w:r w:rsidRPr="008A3404">
        <w:t xml:space="preserve"> </w:t>
      </w:r>
      <w:r>
        <w:t xml:space="preserve">faced by investors </w:t>
      </w:r>
      <w:r w:rsidRPr="008A3404">
        <w:t xml:space="preserve">once </w:t>
      </w:r>
      <w:r>
        <w:t>they have decided to invest. But investment facilitation does not stop there: encouraging</w:t>
      </w:r>
      <w:r w:rsidRPr="008A3404">
        <w:t xml:space="preserve"> the expansion of existing investors and helping them overcome the challenges they face in operating their business is at least as important as facilitating new investments. Aftercare measures can be influential in </w:t>
      </w:r>
      <w:r w:rsidRPr="008A3404">
        <w:lastRenderedPageBreak/>
        <w:t xml:space="preserve">companies’ decisions to </w:t>
      </w:r>
      <w:r>
        <w:t xml:space="preserve">stay in the country and </w:t>
      </w:r>
      <w:r w:rsidRPr="008A3404">
        <w:t>reinvest</w:t>
      </w:r>
      <w:r>
        <w:t xml:space="preserve">, </w:t>
      </w:r>
      <w:r w:rsidRPr="008A3404">
        <w:t>and policy advocacy is a powerful instrument to bolster reforms and enhance the business environment by leveraging the private sector’s feedback.</w:t>
      </w:r>
    </w:p>
    <w:p w14:paraId="40281203" w14:textId="6F23CCAF" w:rsidR="003B1382" w:rsidRDefault="003B1382" w:rsidP="003B1382">
      <w:pPr>
        <w:pStyle w:val="Para0"/>
      </w:pPr>
      <w:r>
        <w:t>Invest</w:t>
      </w:r>
      <w:r w:rsidR="008529DD">
        <w:t>ment facilitation and retention</w:t>
      </w:r>
      <w:r>
        <w:t xml:space="preserve"> is the most heterogeneous of the four core functions across IPAs, as there are wide disparities from one national agency to another in the different activities covered under this function. This can often be explained by the fact that in some countries facilitation and aftercare services are provided by local autonomous agencies such as regional development agencies. In these cases, national IPAs and local agencies in charge of facilitation functions usually co-operate to ensure an end-to-end service to foreign investors. Thus, the fact that a national IPA does not provide facilitation and aftercare services is not so much an indication of the existence of such services in a country as it is a characteristic of its overarching institutional setting for investment promotion and facilitation.</w:t>
      </w:r>
      <w:r w:rsidR="0081084E">
        <w:t xml:space="preserve"> According to the IPA survey,</w:t>
      </w:r>
      <w:r w:rsidR="008529DD">
        <w:t xml:space="preserve"> among EaP countries</w:t>
      </w:r>
      <w:r w:rsidR="00CC178E">
        <w:t>,</w:t>
      </w:r>
      <w:r w:rsidR="008529DD">
        <w:t xml:space="preserve"> only the IPAs of Belarus and Ukraine are mandated with operating a one-stop shop</w:t>
      </w:r>
      <w:r w:rsidR="00EE6249">
        <w:t>.</w:t>
      </w:r>
    </w:p>
    <w:p w14:paraId="7E24A5F3" w14:textId="3A1DB7E8" w:rsidR="00BD66ED" w:rsidRDefault="00C66655" w:rsidP="00BD66ED">
      <w:pPr>
        <w:pStyle w:val="Title3"/>
      </w:pPr>
      <w:r>
        <w:t>Business facilitation has adva</w:t>
      </w:r>
      <w:r w:rsidR="005301C6">
        <w:t>nced considerably in the region</w:t>
      </w:r>
    </w:p>
    <w:p w14:paraId="346CB04F" w14:textId="2D4CC860" w:rsidR="007E6C1E" w:rsidRDefault="00BD66ED" w:rsidP="00CB60D1">
      <w:pPr>
        <w:pStyle w:val="Para0"/>
      </w:pPr>
      <w:r>
        <w:t xml:space="preserve">A common approach to facilitating investment is to set up a </w:t>
      </w:r>
      <w:r w:rsidR="007F5A15">
        <w:t>one-stop shop</w:t>
      </w:r>
      <w:r>
        <w:t xml:space="preserve"> to access all government services and clearances</w:t>
      </w:r>
      <w:r w:rsidR="00C46448">
        <w:t xml:space="preserve"> necessary for establishing and operating a company, by placing officials from different government agencies and ministries under the same roof to centralise administrative procedures and requirements for incoming investors. One-stop shops have been established in various parts of the world, often under the IPA and are frequently geared towards foreign businesses.</w:t>
      </w:r>
    </w:p>
    <w:p w14:paraId="40D6A319" w14:textId="39903F2B" w:rsidR="00CB60D1" w:rsidRDefault="00CB60D1" w:rsidP="00CB60D1">
      <w:pPr>
        <w:pStyle w:val="Para0"/>
      </w:pPr>
      <w:r>
        <w:t xml:space="preserve">The pros and cons of one-stop shops have been widely debated in the literature and amongst investment promotion and facilitation practitioners. On the one hand, they can significantly reduce transaction costs for businesses if they are fully-functional </w:t>
      </w:r>
      <w:r w:rsidRPr="00472E3E">
        <w:t xml:space="preserve">but, on the other hand, they can become </w:t>
      </w:r>
      <w:r>
        <w:t>“one-more st</w:t>
      </w:r>
      <w:r w:rsidRPr="00472E3E">
        <w:t>op</w:t>
      </w:r>
      <w:r>
        <w:t>”</w:t>
      </w:r>
      <w:r w:rsidRPr="00472E3E">
        <w:t xml:space="preserve"> if officials </w:t>
      </w:r>
      <w:r>
        <w:t xml:space="preserve">from external ministries </w:t>
      </w:r>
      <w:r w:rsidRPr="00472E3E">
        <w:t xml:space="preserve">do not have </w:t>
      </w:r>
      <w:r>
        <w:t xml:space="preserve">sufficient decision power and </w:t>
      </w:r>
      <w:r w:rsidRPr="00472E3E">
        <w:t>full approval authority. They can also prove costly for governments, as they</w:t>
      </w:r>
      <w:r>
        <w:t xml:space="preserve"> force ministries to duplicate or </w:t>
      </w:r>
      <w:r w:rsidRPr="00472E3E">
        <w:t xml:space="preserve">multiply the number of officials </w:t>
      </w:r>
      <w:r>
        <w:t>to allow a presence</w:t>
      </w:r>
      <w:r w:rsidRPr="00472E3E">
        <w:t xml:space="preserve"> in</w:t>
      </w:r>
      <w:r>
        <w:t xml:space="preserve"> both </w:t>
      </w:r>
      <w:r w:rsidRPr="00472E3E">
        <w:t xml:space="preserve">their own administration and </w:t>
      </w:r>
      <w:r>
        <w:t xml:space="preserve">in </w:t>
      </w:r>
      <w:r w:rsidRPr="00472E3E">
        <w:t xml:space="preserve">the </w:t>
      </w:r>
      <w:r>
        <w:t>existing</w:t>
      </w:r>
      <w:r w:rsidRPr="00472E3E">
        <w:t xml:space="preserve"> one-stop shop</w:t>
      </w:r>
      <w:r>
        <w:t xml:space="preserve"> office</w:t>
      </w:r>
      <w:r w:rsidRPr="00472E3E">
        <w:t>s</w:t>
      </w:r>
      <w:r w:rsidR="008375BA">
        <w:t xml:space="preserve"> (OECD, forthcoming 2020)</w:t>
      </w:r>
      <w:r w:rsidRPr="00472E3E">
        <w:t>.</w:t>
      </w:r>
    </w:p>
    <w:p w14:paraId="2D15196A" w14:textId="0F607C61" w:rsidR="00CB60D1" w:rsidRDefault="00CB60D1" w:rsidP="00CB60D1">
      <w:pPr>
        <w:pStyle w:val="Para0"/>
      </w:pPr>
      <w:r>
        <w:t>As a general rule, one-stop shops should not be mandatory entry points for investors, as allowing businesses to opt for alternative routes to open a business if they so wish is an incentive for one-stop shops to remain efficient. Additionally, they should be equipped with a Customer Relationship Management (CRM) system, including indicators for monitoring performance, and customers should be invited to fill in satisfaction surveys and forms. It is also important that the decisions to grant or refuse a business licence are transparent and made publicly available, with a right of appeal for those investors who have seen their licence rejected.</w:t>
      </w:r>
    </w:p>
    <w:p w14:paraId="28855EC9" w14:textId="2559A8B5" w:rsidR="00310102" w:rsidRDefault="007E6C1E" w:rsidP="00C46448">
      <w:pPr>
        <w:pStyle w:val="Para0"/>
        <w:rPr>
          <w:highlight w:val="yellow"/>
        </w:rPr>
      </w:pPr>
      <w:r>
        <w:t xml:space="preserve">All EaP countries have one-stop shops in operation, </w:t>
      </w:r>
      <w:r w:rsidR="00CC5145">
        <w:t xml:space="preserve">some operated by the investment promotion agency (Belarus, Ukraine) others by specific ministries (e.g. </w:t>
      </w:r>
      <w:r w:rsidR="000542D8">
        <w:t>Armenia</w:t>
      </w:r>
      <w:r w:rsidR="00CC5145">
        <w:t>, Georgia and Moldova)</w:t>
      </w:r>
      <w:r w:rsidR="000542D8">
        <w:t xml:space="preserve"> and others still by </w:t>
      </w:r>
      <w:r w:rsidR="000B6E96">
        <w:t>state agencies under the presidential administration</w:t>
      </w:r>
      <w:r w:rsidR="000542D8">
        <w:t xml:space="preserve"> (Azerbaijan)</w:t>
      </w:r>
      <w:r w:rsidR="00CC5145">
        <w:t xml:space="preserve">. </w:t>
      </w:r>
      <w:r w:rsidR="00811352">
        <w:t>T</w:t>
      </w:r>
      <w:r>
        <w:t xml:space="preserve">heir </w:t>
      </w:r>
      <w:r w:rsidR="00811352">
        <w:t>decision power</w:t>
      </w:r>
      <w:r w:rsidR="00310102">
        <w:t>, competencies</w:t>
      </w:r>
      <w:r w:rsidR="00811352">
        <w:t xml:space="preserve"> and effectiveness vary</w:t>
      </w:r>
      <w:r>
        <w:t xml:space="preserve"> across the region. </w:t>
      </w:r>
      <w:r w:rsidR="005A4D7F">
        <w:t>Georgia’s Public Service Halls offer citizens and businesses a one-stop-shop for about 300 different administrative procedures, and are widely regarded as an international best practice (OECD, 2016</w:t>
      </w:r>
      <w:r w:rsidR="00357F0B">
        <w:t>c</w:t>
      </w:r>
      <w:r w:rsidR="005A4D7F">
        <w:t>). In Azerbaijan, registering for an electronic signature (ASAN-imza) and taxpayer’s ID number can be done in tax offices and the one-stop-shops run by the State Agency for Public Services and Social Innovation (A</w:t>
      </w:r>
      <w:r w:rsidR="00976723">
        <w:t>SAN Service Centres) (OECD, 2016</w:t>
      </w:r>
      <w:r w:rsidR="007F242F">
        <w:t>c</w:t>
      </w:r>
      <w:r w:rsidR="005A4D7F">
        <w:t xml:space="preserve">). In Moldova, </w:t>
      </w:r>
      <w:r w:rsidR="00310102">
        <w:t>the</w:t>
      </w:r>
      <w:r w:rsidR="005A4D7F">
        <w:t xml:space="preserve"> one-stop-shop mechanism </w:t>
      </w:r>
      <w:r w:rsidR="00310102">
        <w:t xml:space="preserve">has </w:t>
      </w:r>
      <w:r w:rsidR="005A4D7F">
        <w:t>shorten</w:t>
      </w:r>
      <w:r w:rsidR="00310102">
        <w:t>ed</w:t>
      </w:r>
      <w:r w:rsidR="005A4D7F">
        <w:t xml:space="preserve"> company </w:t>
      </w:r>
      <w:r w:rsidR="005A4D7F">
        <w:lastRenderedPageBreak/>
        <w:t>registration procedure</w:t>
      </w:r>
      <w:r w:rsidR="00310102">
        <w:t>s</w:t>
      </w:r>
      <w:r w:rsidR="005A4D7F">
        <w:t xml:space="preserve"> </w:t>
      </w:r>
      <w:r w:rsidR="0083739E">
        <w:t xml:space="preserve">from five steps and five days to just one step and one day, </w:t>
      </w:r>
      <w:r w:rsidR="00310102">
        <w:t xml:space="preserve">but </w:t>
      </w:r>
      <w:r w:rsidR="0083739E">
        <w:t>some of the</w:t>
      </w:r>
      <w:r w:rsidR="00310102">
        <w:t xml:space="preserve"> </w:t>
      </w:r>
      <w:r w:rsidR="005A4D7F">
        <w:t>one-stop-shops</w:t>
      </w:r>
      <w:r w:rsidR="00310102">
        <w:t xml:space="preserve"> that</w:t>
      </w:r>
      <w:r w:rsidR="005A4D7F">
        <w:t xml:space="preserve"> ha</w:t>
      </w:r>
      <w:r w:rsidR="00310102">
        <w:t>ve</w:t>
      </w:r>
      <w:r w:rsidR="005A4D7F">
        <w:t xml:space="preserve"> been created still </w:t>
      </w:r>
      <w:r w:rsidR="00310102">
        <w:t>fall short of offering</w:t>
      </w:r>
      <w:r w:rsidR="005A4D7F">
        <w:t xml:space="preserve"> multiple services in a single place.</w:t>
      </w:r>
    </w:p>
    <w:p w14:paraId="5C02E645" w14:textId="70C10DC3" w:rsidR="00C46448" w:rsidRDefault="004D6211" w:rsidP="00C46448">
      <w:pPr>
        <w:pStyle w:val="Para0"/>
      </w:pPr>
      <w:r w:rsidRPr="005A4D7F">
        <w:t>According</w:t>
      </w:r>
      <w:r>
        <w:t xml:space="preserve"> to the IPA survey, </w:t>
      </w:r>
      <w:r w:rsidR="007E6C1E">
        <w:t>t</w:t>
      </w:r>
      <w:r w:rsidR="00C46448">
        <w:t>he range of services offered by the IPAs of Belarus and Ukraine in terms of facilitating administrative procedures are not as comprehensive as those of other IPAs with dedicated one-stop services centres</w:t>
      </w:r>
      <w:r w:rsidR="004A51CF">
        <w:t xml:space="preserve"> (Figure 3.6)</w:t>
      </w:r>
      <w:r w:rsidR="00C46448">
        <w:t xml:space="preserve">. Belarus’s IPA provide tax and business registration, </w:t>
      </w:r>
      <w:r w:rsidR="00C50AD3">
        <w:t xml:space="preserve">licences </w:t>
      </w:r>
      <w:r w:rsidR="00C46448">
        <w:t xml:space="preserve">and construction permits; while Ukraine’s IPA offers </w:t>
      </w:r>
      <w:r w:rsidR="00B161C9">
        <w:t xml:space="preserve">licences and construction approvals, as well as assistances with utilities, legal issues and other business matters, but does not provide tax registration and work permits. In both cases, the established one-stop services centres do not offer a true single window to all administrative procedures necessary to </w:t>
      </w:r>
      <w:r w:rsidR="004A51CF">
        <w:t>start and formally operate a business</w:t>
      </w:r>
      <w:r w:rsidR="009B38ED">
        <w:t>, and are</w:t>
      </w:r>
      <w:r w:rsidR="007D5A20">
        <w:t xml:space="preserve"> therefore</w:t>
      </w:r>
      <w:r w:rsidR="009B38ED">
        <w:t xml:space="preserve"> effectively not one-stop shops</w:t>
      </w:r>
      <w:r w:rsidR="00B161C9">
        <w:t xml:space="preserve">. </w:t>
      </w:r>
      <w:r w:rsidR="00310102">
        <w:t xml:space="preserve">This is reflected </w:t>
      </w:r>
      <w:r w:rsidR="0083739E">
        <w:t xml:space="preserve">in </w:t>
      </w:r>
      <w:r w:rsidR="00310102">
        <w:t xml:space="preserve">the significantly lower </w:t>
      </w:r>
      <w:r w:rsidR="0083739E">
        <w:t xml:space="preserve">Doing Business </w:t>
      </w:r>
      <w:r w:rsidR="00310102">
        <w:t xml:space="preserve">ranking </w:t>
      </w:r>
      <w:r w:rsidR="0083739E">
        <w:t xml:space="preserve">for starting a business </w:t>
      </w:r>
      <w:r w:rsidR="00310102">
        <w:t>of Belarus (30</w:t>
      </w:r>
      <w:r w:rsidR="002B6DFA" w:rsidRPr="002B6DFA">
        <w:rPr>
          <w:vertAlign w:val="superscript"/>
        </w:rPr>
        <w:t>th</w:t>
      </w:r>
      <w:r w:rsidR="00310102">
        <w:t>) and Ukraine (61</w:t>
      </w:r>
      <w:r w:rsidR="002B6DFA" w:rsidRPr="002B6DFA">
        <w:rPr>
          <w:vertAlign w:val="superscript"/>
        </w:rPr>
        <w:t>st</w:t>
      </w:r>
      <w:r w:rsidR="00310102">
        <w:t>), relative to other countries in the region</w:t>
      </w:r>
      <w:r w:rsidR="002B6DFA">
        <w:t>, headed by Georgia (</w:t>
      </w:r>
      <w:r w:rsidR="00310102">
        <w:t>2</w:t>
      </w:r>
      <w:r w:rsidR="002B6DFA" w:rsidRPr="002B6DFA">
        <w:rPr>
          <w:vertAlign w:val="superscript"/>
        </w:rPr>
        <w:t>nd</w:t>
      </w:r>
      <w:r w:rsidR="002B6DFA">
        <w:t>) and closely followed by Azerbaijan (9</w:t>
      </w:r>
      <w:r w:rsidR="002B6DFA" w:rsidRPr="002B6DFA">
        <w:rPr>
          <w:vertAlign w:val="superscript"/>
        </w:rPr>
        <w:t>th</w:t>
      </w:r>
      <w:r w:rsidR="002B6DFA">
        <w:t>), Armenia (10</w:t>
      </w:r>
      <w:r w:rsidR="002B6DFA" w:rsidRPr="002B6DFA">
        <w:rPr>
          <w:vertAlign w:val="superscript"/>
        </w:rPr>
        <w:t>th</w:t>
      </w:r>
      <w:r w:rsidR="002B6DFA">
        <w:t>) and Moldova</w:t>
      </w:r>
      <w:r w:rsidR="00310102">
        <w:t xml:space="preserve"> </w:t>
      </w:r>
      <w:r w:rsidR="002B6DFA">
        <w:t>(</w:t>
      </w:r>
      <w:r w:rsidR="00310102">
        <w:t>13</w:t>
      </w:r>
      <w:r w:rsidR="002B6DFA" w:rsidRPr="002B6DFA">
        <w:rPr>
          <w:vertAlign w:val="superscript"/>
        </w:rPr>
        <w:t>th</w:t>
      </w:r>
      <w:r w:rsidR="00310102">
        <w:t>).</w:t>
      </w:r>
    </w:p>
    <w:p w14:paraId="09971655" w14:textId="306B0C8F" w:rsidR="00860B28" w:rsidRDefault="00860B28" w:rsidP="00CF40B1">
      <w:pPr>
        <w:pStyle w:val="Caption"/>
      </w:pPr>
      <w:bookmarkStart w:id="87" w:name="_Toc31983253"/>
      <w:bookmarkStart w:id="88" w:name="_Toc33443337"/>
      <w:r>
        <w:t xml:space="preserve">Figure </w:t>
      </w:r>
      <w:fldSimple w:instr=" STYLEREF 1 \s ">
        <w:r w:rsidR="00DC4D16">
          <w:rPr>
            <w:noProof/>
          </w:rPr>
          <w:t>3</w:t>
        </w:r>
      </w:fldSimple>
      <w:r>
        <w:t>.</w:t>
      </w:r>
      <w:r>
        <w:rPr>
          <w:noProof/>
        </w:rPr>
        <w:fldChar w:fldCharType="begin"/>
      </w:r>
      <w:r>
        <w:rPr>
          <w:noProof/>
        </w:rPr>
        <w:instrText xml:space="preserve"> SEQ Figure \* ARABIC \s 1 </w:instrText>
      </w:r>
      <w:r>
        <w:rPr>
          <w:noProof/>
        </w:rPr>
        <w:fldChar w:fldCharType="separate"/>
      </w:r>
      <w:r w:rsidR="00DC4D16">
        <w:rPr>
          <w:noProof/>
        </w:rPr>
        <w:t>6</w:t>
      </w:r>
      <w:r>
        <w:rPr>
          <w:noProof/>
        </w:rPr>
        <w:fldChar w:fldCharType="end"/>
      </w:r>
      <w:r>
        <w:t>. Assistance with administrative procedures</w:t>
      </w:r>
      <w:bookmarkEnd w:id="87"/>
      <w:bookmarkEnd w:id="88"/>
    </w:p>
    <w:p w14:paraId="35F914B1" w14:textId="65ECBA11" w:rsidR="00860B28" w:rsidRPr="00860B28" w:rsidRDefault="00167A20" w:rsidP="00CF40B1">
      <w:pPr>
        <w:pStyle w:val="Figure"/>
      </w:pPr>
      <w:r w:rsidRPr="00167A20">
        <w:rPr>
          <w:noProof/>
          <w:lang w:eastAsia="en-GB"/>
        </w:rPr>
        <w:drawing>
          <wp:inline distT="0" distB="0" distL="0" distR="0" wp14:anchorId="00255C9B" wp14:editId="1E255BD7">
            <wp:extent cx="4680000" cy="28109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80000" cy="2810908"/>
                    </a:xfrm>
                    <a:prstGeom prst="rect">
                      <a:avLst/>
                    </a:prstGeom>
                    <a:noFill/>
                    <a:ln>
                      <a:noFill/>
                    </a:ln>
                  </pic:spPr>
                </pic:pic>
              </a:graphicData>
            </a:graphic>
          </wp:inline>
        </w:drawing>
      </w:r>
    </w:p>
    <w:p w14:paraId="7CB35BC3" w14:textId="7934B8D9" w:rsidR="00860B28" w:rsidRPr="00454399" w:rsidRDefault="00860B28" w:rsidP="00CF40B1">
      <w:pPr>
        <w:pStyle w:val="Sourcenotes"/>
      </w:pPr>
      <w:r w:rsidRPr="00454399">
        <w:rPr>
          <w:i/>
        </w:rPr>
        <w:t>Source</w:t>
      </w:r>
      <w:r>
        <w:t xml:space="preserve">: </w:t>
      </w:r>
      <w:r w:rsidRPr="00754E52">
        <w:t>OECD-IDB IPA survey of Investment Promotion Agencies (2019)</w:t>
      </w:r>
      <w:r>
        <w:t>.</w:t>
      </w:r>
    </w:p>
    <w:p w14:paraId="1C8B42A0" w14:textId="28538AB0" w:rsidR="00BD66ED" w:rsidRDefault="00C66655" w:rsidP="00C66655">
      <w:pPr>
        <w:pStyle w:val="Heading3"/>
      </w:pPr>
      <w:r>
        <w:t xml:space="preserve">Investment retention </w:t>
      </w:r>
      <w:r w:rsidR="00F64317">
        <w:t>activities</w:t>
      </w:r>
      <w:r>
        <w:t xml:space="preserve"> </w:t>
      </w:r>
      <w:r w:rsidR="00A977B1">
        <w:t>remain more</w:t>
      </w:r>
      <w:r w:rsidR="00351A2E">
        <w:t xml:space="preserve"> limited</w:t>
      </w:r>
    </w:p>
    <w:p w14:paraId="4C30308B" w14:textId="20BF68C5" w:rsidR="00D96926" w:rsidRDefault="00A977B1" w:rsidP="00D96926">
      <w:pPr>
        <w:pStyle w:val="Para0"/>
      </w:pPr>
      <w:r>
        <w:t>Aftercare or retention services help established investors develop and expand their activity, with a view to trigger reinvestments (or at least maintain existing investments).</w:t>
      </w:r>
      <w:r w:rsidR="00D96926">
        <w:t xml:space="preserve"> This </w:t>
      </w:r>
      <w:r w:rsidR="00A12935">
        <w:t>include</w:t>
      </w:r>
      <w:r w:rsidR="00145D82">
        <w:t>s</w:t>
      </w:r>
      <w:r w:rsidR="00D96926">
        <w:t xml:space="preserve"> solving problems encountered by businesses</w:t>
      </w:r>
      <w:r w:rsidR="00145D82">
        <w:t xml:space="preserve"> (i.e. </w:t>
      </w:r>
      <w:r w:rsidR="00145D82" w:rsidRPr="00145D82">
        <w:t>dispute resolution measures</w:t>
      </w:r>
      <w:r w:rsidR="00145D82">
        <w:t>)</w:t>
      </w:r>
      <w:r w:rsidR="00D96926">
        <w:t>, and helping them expand their activities</w:t>
      </w:r>
      <w:r w:rsidR="00D47043">
        <w:t xml:space="preserve"> through business support services</w:t>
      </w:r>
      <w:r w:rsidR="00145D82">
        <w:t xml:space="preserve"> (i.e. capacity building</w:t>
      </w:r>
      <w:r w:rsidR="00145D82" w:rsidRPr="00145D82">
        <w:t xml:space="preserve"> and linkage programmes</w:t>
      </w:r>
      <w:r w:rsidR="00145D82">
        <w:t>)</w:t>
      </w:r>
      <w:r w:rsidR="00D96926">
        <w:t>.</w:t>
      </w:r>
      <w:r w:rsidR="005664A2">
        <w:t xml:space="preserve"> As the economic crisis triggered by the COVID-19 pandemic unfolds</w:t>
      </w:r>
      <w:r w:rsidR="00C63743">
        <w:t xml:space="preserve">, </w:t>
      </w:r>
      <w:r w:rsidR="00E8480E">
        <w:t>and investment promotion efforts are dampened by government measures to contain the pandemic, high-quality</w:t>
      </w:r>
      <w:r w:rsidR="00C63743">
        <w:t xml:space="preserve"> aftercare services will </w:t>
      </w:r>
      <w:r w:rsidR="00673561">
        <w:t>be vital to ensure that investors remain and reinvest</w:t>
      </w:r>
      <w:r w:rsidR="00E8480E">
        <w:t xml:space="preserve"> in the region.</w:t>
      </w:r>
    </w:p>
    <w:p w14:paraId="6B42C3AC" w14:textId="33702E23" w:rsidR="00D47043" w:rsidRDefault="00407EAA" w:rsidP="00407EAA">
      <w:pPr>
        <w:pStyle w:val="Para0"/>
      </w:pPr>
      <w:r>
        <w:t xml:space="preserve">The most widely offered aftercare service is structured trouble-shooting with individual </w:t>
      </w:r>
      <w:r w:rsidR="00D96926">
        <w:t>investors, provided by 81% of OECD IPAs and three out of four surveye</w:t>
      </w:r>
      <w:r w:rsidR="0063260E">
        <w:t>d</w:t>
      </w:r>
      <w:r w:rsidR="00D96926">
        <w:t xml:space="preserve"> EaP IPAs (Table </w:t>
      </w:r>
      <w:r w:rsidR="00D96926">
        <w:lastRenderedPageBreak/>
        <w:t>3</w:t>
      </w:r>
      <w:r>
        <w:t>.6). This is the preferred mode to solve problems and issues</w:t>
      </w:r>
      <w:r w:rsidR="00D47043">
        <w:t>,</w:t>
      </w:r>
      <w:r>
        <w:t xml:space="preserve"> as only 45% of </w:t>
      </w:r>
      <w:r w:rsidR="00EA4C6F">
        <w:t>OECD</w:t>
      </w:r>
      <w:r>
        <w:t xml:space="preserve"> IPAs engage in mitigation of conflicts and 26% offer an ombudsman service. </w:t>
      </w:r>
      <w:r w:rsidR="00D47043">
        <w:t xml:space="preserve">Among EaP </w:t>
      </w:r>
      <w:r w:rsidR="00B86219">
        <w:t>IPAs</w:t>
      </w:r>
      <w:r w:rsidR="00142433">
        <w:t>,</w:t>
      </w:r>
      <w:r w:rsidR="00D47043">
        <w:t xml:space="preserve"> Ukraine</w:t>
      </w:r>
      <w:r w:rsidR="00B86219">
        <w:t xml:space="preserve"> Invest</w:t>
      </w:r>
      <w:r w:rsidR="00D47043">
        <w:t xml:space="preserve"> is the only one to offer all three of these aftercare services, while </w:t>
      </w:r>
      <w:r w:rsidR="00797913">
        <w:t>AZPROMO</w:t>
      </w:r>
      <w:r w:rsidR="00D47043">
        <w:t xml:space="preserve"> offers trouble shooting and mitigation, only. </w:t>
      </w:r>
      <w:r>
        <w:t>In some cases, countries choose to locate conflict and dispute resolution mechanisms outside of their IPA</w:t>
      </w:r>
      <w:r w:rsidR="00D47043">
        <w:t>, as is the case in Georgia, where a tax and business ombudsman</w:t>
      </w:r>
      <w:r w:rsidR="00B86219">
        <w:t>,</w:t>
      </w:r>
      <w:r w:rsidR="00D47043">
        <w:t xml:space="preserve"> created in 2011</w:t>
      </w:r>
      <w:r w:rsidR="00B86219">
        <w:t>,</w:t>
      </w:r>
      <w:r w:rsidR="00D47043">
        <w:t xml:space="preserve"> acts as mediator</w:t>
      </w:r>
      <w:r w:rsidR="00B86219">
        <w:t xml:space="preserve"> by</w:t>
      </w:r>
      <w:r w:rsidR="00D47043">
        <w:rPr>
          <w:rFonts w:ascii="TimesNewRomanPSMT" w:hAnsi="TimesNewRomanPSMT" w:cs="TimesNewRomanPSMT"/>
        </w:rPr>
        <w:t xml:space="preserve"> transmitting private sector concerns to the government</w:t>
      </w:r>
      <w:r>
        <w:t xml:space="preserve">. </w:t>
      </w:r>
      <w:r w:rsidR="00D47043">
        <w:t>In Armenia and Moldova, such aftercare services are not yet in place, although the two governments are currently in discussions regarding the establish</w:t>
      </w:r>
      <w:r w:rsidR="007F17DA">
        <w:t>ment of a</w:t>
      </w:r>
      <w:r w:rsidR="00D47043">
        <w:t xml:space="preserve"> business ombudsman.</w:t>
      </w:r>
    </w:p>
    <w:p w14:paraId="74B870A0" w14:textId="6E4DF90F" w:rsidR="00A977B1" w:rsidRDefault="00407EAA" w:rsidP="00407EAA">
      <w:pPr>
        <w:pStyle w:val="Para0"/>
      </w:pPr>
      <w:r>
        <w:t xml:space="preserve">Locating </w:t>
      </w:r>
      <w:r w:rsidR="00515D86">
        <w:t>ombudsman</w:t>
      </w:r>
      <w:r>
        <w:t xml:space="preserve"> service</w:t>
      </w:r>
      <w:r w:rsidR="00D47043">
        <w:t>s</w:t>
      </w:r>
      <w:r>
        <w:t xml:space="preserve"> within the framework of investment promotion can be an efficient way to leverage it to improve the overarching policy framework through policy advocacy. Korea offers a good example of a well-functioning ombudsman service, which was established in the larger context of investment policy reform. The ombudsman not only handles specific investors’ grievances but also contributes to enhancing the investment policy framework by providing inputs from his observations and field experience (OECD, 2013).</w:t>
      </w:r>
      <w:r w:rsidR="00515D86">
        <w:t xml:space="preserve"> </w:t>
      </w:r>
      <w:r w:rsidR="00DB449F">
        <w:t xml:space="preserve">Granted that adequate </w:t>
      </w:r>
      <w:r w:rsidR="00515D86">
        <w:t xml:space="preserve">human and financial resources </w:t>
      </w:r>
      <w:r w:rsidR="00DB449F">
        <w:t>can be secured</w:t>
      </w:r>
      <w:r w:rsidR="00515D86">
        <w:t xml:space="preserve">, covering this type of function </w:t>
      </w:r>
      <w:r w:rsidR="00DB449F">
        <w:t>can be very effective in retaining investors</w:t>
      </w:r>
      <w:r w:rsidR="00515D86">
        <w:t>.</w:t>
      </w:r>
    </w:p>
    <w:p w14:paraId="6E65894C" w14:textId="4BD96706" w:rsidR="002B6DFA" w:rsidRDefault="00EA4C6F" w:rsidP="00EA4C6F">
      <w:pPr>
        <w:pStyle w:val="Para0"/>
      </w:pPr>
      <w:r>
        <w:t xml:space="preserve">Business support services are another important component of aftercare services, an area in which IPAs are comparatively less active. Matchmaking with local suppliers and customers is the service that is the most often offered to foreign investors (65% of </w:t>
      </w:r>
      <w:r w:rsidR="004C6075">
        <w:t xml:space="preserve">OECD </w:t>
      </w:r>
      <w:r>
        <w:t xml:space="preserve">IPAs). </w:t>
      </w:r>
      <w:r w:rsidR="002B6DFA">
        <w:t>C</w:t>
      </w:r>
      <w:r>
        <w:t>apacity-building for local firms, assistance in recruiting</w:t>
      </w:r>
      <w:r w:rsidR="002B6DFA">
        <w:t>,</w:t>
      </w:r>
      <w:r>
        <w:t xml:space="preserve"> and </w:t>
      </w:r>
      <w:r w:rsidR="002B6DFA">
        <w:t xml:space="preserve">local staff </w:t>
      </w:r>
      <w:r>
        <w:t>training programme</w:t>
      </w:r>
      <w:r w:rsidR="002B6DFA">
        <w:t>s</w:t>
      </w:r>
      <w:r>
        <w:t xml:space="preserve"> are performed by a minority of OECD IPAs (48% or </w:t>
      </w:r>
      <w:r w:rsidR="00D70BC5">
        <w:t>less), as they require different competencies than those central to invest</w:t>
      </w:r>
      <w:r w:rsidR="00167465">
        <w:t xml:space="preserve">ment promotion and facilitation. </w:t>
      </w:r>
      <w:r w:rsidR="002B6DFA">
        <w:t>However, many OECD IPAs co-ordinate with vocational and technical education and training (T</w:t>
      </w:r>
      <w:r w:rsidR="00844452">
        <w:t>V</w:t>
      </w:r>
      <w:r w:rsidR="002B6DFA">
        <w:t>ET) institutions to deliver complementary services as requested by the investors they cater to.</w:t>
      </w:r>
    </w:p>
    <w:p w14:paraId="489E2CBE" w14:textId="732A7D0B" w:rsidR="005433B0" w:rsidRDefault="00167465" w:rsidP="00EA4C6F">
      <w:pPr>
        <w:pStyle w:val="Para0"/>
      </w:pPr>
      <w:r>
        <w:t>All surveyed EaP IPAs, with the exception of Ukraine Invest</w:t>
      </w:r>
      <w:r w:rsidR="002B6DFA">
        <w:t>,</w:t>
      </w:r>
      <w:r>
        <w:t xml:space="preserve"> provide investors with a database of local suppliers, which is </w:t>
      </w:r>
      <w:r w:rsidR="00E31FAA">
        <w:t>a highly effective way to support</w:t>
      </w:r>
      <w:r>
        <w:t xml:space="preserve"> new investors </w:t>
      </w:r>
      <w:r w:rsidR="00E31FAA">
        <w:t>in finding</w:t>
      </w:r>
      <w:r>
        <w:t xml:space="preserve"> local partners. Ukraine Invest provides more tailored business support services, including business matchmaking and cluster programmes.</w:t>
      </w:r>
      <w:r w:rsidR="00E31FAA">
        <w:t xml:space="preserve"> To complement these services, the agency should consider compiling a detailed database of </w:t>
      </w:r>
      <w:r w:rsidR="005433B0">
        <w:t>local suppliers.</w:t>
      </w:r>
    </w:p>
    <w:p w14:paraId="6283086F" w14:textId="3172F577" w:rsidR="00EA4C6F" w:rsidRPr="00A977B1" w:rsidRDefault="005433B0" w:rsidP="00EA4C6F">
      <w:pPr>
        <w:pStyle w:val="Para0"/>
      </w:pPr>
      <w:r>
        <w:t>In all EaP countries, aftercare activities</w:t>
      </w:r>
      <w:r w:rsidR="00E31FAA">
        <w:t xml:space="preserve"> </w:t>
      </w:r>
      <w:r>
        <w:t>would benefit from tracking and monitoring through a CRM system customer feedback and regular evaluation, currently not in place in any of the surveyed IPAs.</w:t>
      </w:r>
    </w:p>
    <w:p w14:paraId="0B58968A" w14:textId="622C042C" w:rsidR="00E21076" w:rsidRDefault="00E21076" w:rsidP="0054024A">
      <w:pPr>
        <w:pStyle w:val="Caption"/>
      </w:pPr>
      <w:bookmarkStart w:id="89" w:name="_Toc31983265"/>
      <w:bookmarkStart w:id="90" w:name="_Toc33443316"/>
      <w:r>
        <w:lastRenderedPageBreak/>
        <w:t xml:space="preserve">Table </w:t>
      </w:r>
      <w:fldSimple w:instr=" STYLEREF 1 \s ">
        <w:r w:rsidR="00DC4D16">
          <w:rPr>
            <w:noProof/>
          </w:rPr>
          <w:t>3</w:t>
        </w:r>
      </w:fldSimple>
      <w:r>
        <w:t>.</w:t>
      </w:r>
      <w:r>
        <w:rPr>
          <w:noProof/>
        </w:rPr>
        <w:fldChar w:fldCharType="begin"/>
      </w:r>
      <w:r>
        <w:rPr>
          <w:noProof/>
        </w:rPr>
        <w:instrText xml:space="preserve"> SEQ Table \* ARABIC \s 1 </w:instrText>
      </w:r>
      <w:r>
        <w:rPr>
          <w:noProof/>
        </w:rPr>
        <w:fldChar w:fldCharType="separate"/>
      </w:r>
      <w:r w:rsidR="00DC4D16">
        <w:rPr>
          <w:noProof/>
        </w:rPr>
        <w:t>6</w:t>
      </w:r>
      <w:r>
        <w:rPr>
          <w:noProof/>
        </w:rPr>
        <w:fldChar w:fldCharType="end"/>
      </w:r>
      <w:r>
        <w:t xml:space="preserve">. </w:t>
      </w:r>
      <w:r w:rsidR="001124FE">
        <w:t xml:space="preserve">Aftercare services </w:t>
      </w:r>
      <w:r w:rsidR="002B06D8">
        <w:t>of</w:t>
      </w:r>
      <w:r w:rsidR="001124FE">
        <w:t xml:space="preserve"> IPAs</w:t>
      </w:r>
      <w:bookmarkEnd w:id="89"/>
      <w:bookmarkEnd w:id="90"/>
    </w:p>
    <w:tbl>
      <w:tblPr>
        <w:tblStyle w:val="OECD"/>
        <w:tblW w:w="7937" w:type="dxa"/>
        <w:tblLook w:val="0420" w:firstRow="1" w:lastRow="0" w:firstColumn="0" w:lastColumn="0" w:noHBand="0" w:noVBand="1"/>
      </w:tblPr>
      <w:tblGrid>
        <w:gridCol w:w="4677"/>
        <w:gridCol w:w="652"/>
        <w:gridCol w:w="652"/>
        <w:gridCol w:w="652"/>
        <w:gridCol w:w="652"/>
        <w:gridCol w:w="652"/>
      </w:tblGrid>
      <w:tr w:rsidR="00A35780" w:rsidRPr="00A977B1" w14:paraId="31F116C2" w14:textId="77777777" w:rsidTr="00351054">
        <w:trPr>
          <w:cnfStyle w:val="100000000000" w:firstRow="1" w:lastRow="0" w:firstColumn="0" w:lastColumn="0" w:oddVBand="0" w:evenVBand="0" w:oddHBand="0" w:evenHBand="0" w:firstRowFirstColumn="0" w:firstRowLastColumn="0" w:lastRowFirstColumn="0" w:lastRowLastColumn="0"/>
        </w:trPr>
        <w:tc>
          <w:tcPr>
            <w:tcW w:w="4677" w:type="dxa"/>
            <w:tcBorders>
              <w:bottom w:val="single" w:sz="4" w:space="0" w:color="auto"/>
            </w:tcBorders>
            <w:vAlign w:val="center"/>
          </w:tcPr>
          <w:p w14:paraId="2DA89BD4" w14:textId="1FF0DCCF" w:rsidR="00A35780" w:rsidRPr="00A977B1" w:rsidRDefault="00A35780" w:rsidP="00A35780">
            <w:pPr>
              <w:pStyle w:val="TableColumn"/>
              <w:jc w:val="left"/>
              <w:rPr>
                <w:color w:val="auto"/>
                <w:lang w:val="en-GB"/>
              </w:rPr>
            </w:pPr>
            <w:r w:rsidRPr="00A977B1">
              <w:rPr>
                <w:rFonts w:cs="Arial"/>
                <w:color w:val="auto"/>
                <w:szCs w:val="17"/>
                <w:lang w:val="en-GB"/>
              </w:rPr>
              <w:t>Activity</w:t>
            </w:r>
          </w:p>
        </w:tc>
        <w:tc>
          <w:tcPr>
            <w:tcW w:w="652" w:type="dxa"/>
            <w:tcBorders>
              <w:bottom w:val="single" w:sz="4" w:space="0" w:color="auto"/>
            </w:tcBorders>
            <w:vAlign w:val="center"/>
          </w:tcPr>
          <w:p w14:paraId="5CD5F1B3" w14:textId="4D2EA274" w:rsidR="00A35780" w:rsidRPr="00A977B1" w:rsidRDefault="00A35780" w:rsidP="00A35780">
            <w:pPr>
              <w:pStyle w:val="TableColumn"/>
              <w:rPr>
                <w:bCs w:val="0"/>
                <w:color w:val="auto"/>
                <w:lang w:val="en-GB"/>
              </w:rPr>
            </w:pPr>
            <w:r w:rsidRPr="00A977B1">
              <w:rPr>
                <w:rFonts w:cs="Arial"/>
                <w:color w:val="auto"/>
                <w:szCs w:val="17"/>
                <w:lang w:val="en-GB"/>
              </w:rPr>
              <w:t>% of OECD IPAs</w:t>
            </w:r>
          </w:p>
        </w:tc>
        <w:tc>
          <w:tcPr>
            <w:tcW w:w="652" w:type="dxa"/>
            <w:tcBorders>
              <w:bottom w:val="single" w:sz="4" w:space="0" w:color="auto"/>
            </w:tcBorders>
            <w:vAlign w:val="center"/>
          </w:tcPr>
          <w:p w14:paraId="386ECF82" w14:textId="5BEE29EB" w:rsidR="00A35780" w:rsidRPr="00A977B1" w:rsidRDefault="00A35780" w:rsidP="00A35780">
            <w:pPr>
              <w:pStyle w:val="TableColumn"/>
              <w:rPr>
                <w:color w:val="auto"/>
                <w:lang w:val="en-GB"/>
              </w:rPr>
            </w:pPr>
            <w:r w:rsidRPr="00A977B1">
              <w:rPr>
                <w:rFonts w:cs="Arial"/>
                <w:color w:val="auto"/>
                <w:szCs w:val="17"/>
                <w:lang w:val="en-GB"/>
              </w:rPr>
              <w:t>AZE</w:t>
            </w:r>
          </w:p>
        </w:tc>
        <w:tc>
          <w:tcPr>
            <w:tcW w:w="652" w:type="dxa"/>
            <w:tcBorders>
              <w:bottom w:val="single" w:sz="4" w:space="0" w:color="auto"/>
            </w:tcBorders>
            <w:vAlign w:val="center"/>
          </w:tcPr>
          <w:p w14:paraId="7D221A26" w14:textId="5B374D52" w:rsidR="00A35780" w:rsidRPr="00A977B1" w:rsidRDefault="00A35780" w:rsidP="00A35780">
            <w:pPr>
              <w:pStyle w:val="TableColumn"/>
              <w:rPr>
                <w:bCs w:val="0"/>
                <w:color w:val="auto"/>
                <w:lang w:val="en-GB"/>
              </w:rPr>
            </w:pPr>
            <w:r w:rsidRPr="00A977B1">
              <w:rPr>
                <w:rFonts w:cs="Arial"/>
                <w:color w:val="auto"/>
                <w:szCs w:val="17"/>
                <w:lang w:val="en-GB"/>
              </w:rPr>
              <w:t>BLR</w:t>
            </w:r>
          </w:p>
        </w:tc>
        <w:tc>
          <w:tcPr>
            <w:tcW w:w="652" w:type="dxa"/>
            <w:tcBorders>
              <w:bottom w:val="single" w:sz="4" w:space="0" w:color="auto"/>
            </w:tcBorders>
            <w:vAlign w:val="center"/>
          </w:tcPr>
          <w:p w14:paraId="0E1B909C" w14:textId="6C568910" w:rsidR="00A35780" w:rsidRPr="00A977B1" w:rsidRDefault="00A35780" w:rsidP="00A35780">
            <w:pPr>
              <w:pStyle w:val="TableColumn"/>
              <w:rPr>
                <w:color w:val="auto"/>
                <w:lang w:val="en-GB"/>
              </w:rPr>
            </w:pPr>
            <w:r w:rsidRPr="00A977B1">
              <w:rPr>
                <w:rFonts w:cs="Arial"/>
                <w:color w:val="auto"/>
                <w:szCs w:val="17"/>
                <w:lang w:val="en-GB"/>
              </w:rPr>
              <w:t>GEO</w:t>
            </w:r>
          </w:p>
        </w:tc>
        <w:tc>
          <w:tcPr>
            <w:tcW w:w="652" w:type="dxa"/>
            <w:tcBorders>
              <w:bottom w:val="single" w:sz="4" w:space="0" w:color="auto"/>
            </w:tcBorders>
            <w:vAlign w:val="center"/>
          </w:tcPr>
          <w:p w14:paraId="5287771B" w14:textId="0DEE93DA" w:rsidR="00A35780" w:rsidRPr="00A977B1" w:rsidRDefault="00A35780" w:rsidP="00A35780">
            <w:pPr>
              <w:pStyle w:val="TableColumn"/>
              <w:rPr>
                <w:color w:val="auto"/>
                <w:lang w:val="en-GB"/>
              </w:rPr>
            </w:pPr>
            <w:r w:rsidRPr="00A977B1">
              <w:rPr>
                <w:rFonts w:cs="Arial"/>
                <w:color w:val="auto"/>
                <w:szCs w:val="17"/>
                <w:lang w:val="en-GB"/>
              </w:rPr>
              <w:t>UKR</w:t>
            </w:r>
          </w:p>
        </w:tc>
      </w:tr>
      <w:tr w:rsidR="00A35780" w:rsidRPr="00A977B1" w14:paraId="10BBAAEB"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tcBorders>
              <w:top w:val="single" w:sz="4" w:space="0" w:color="auto"/>
            </w:tcBorders>
            <w:vAlign w:val="center"/>
          </w:tcPr>
          <w:p w14:paraId="2EDD3414" w14:textId="44A5678C" w:rsidR="00A35780" w:rsidRPr="00A977B1" w:rsidRDefault="00A35780" w:rsidP="00A35780">
            <w:pPr>
              <w:pStyle w:val="TableCell"/>
              <w:jc w:val="left"/>
              <w:rPr>
                <w:szCs w:val="17"/>
                <w:lang w:val="en-GB"/>
              </w:rPr>
            </w:pPr>
            <w:r w:rsidRPr="00A977B1">
              <w:rPr>
                <w:rFonts w:cs="Arial"/>
                <w:color w:val="000000"/>
                <w:szCs w:val="17"/>
                <w:lang w:val="en-GB"/>
              </w:rPr>
              <w:t>Structured trouble-shooting with individual Investors</w:t>
            </w:r>
          </w:p>
        </w:tc>
        <w:tc>
          <w:tcPr>
            <w:tcW w:w="652" w:type="dxa"/>
            <w:tcBorders>
              <w:top w:val="single" w:sz="4" w:space="0" w:color="auto"/>
            </w:tcBorders>
            <w:vAlign w:val="center"/>
          </w:tcPr>
          <w:p w14:paraId="721E2FBD" w14:textId="5862413B" w:rsidR="00A35780" w:rsidRPr="00A977B1" w:rsidRDefault="00A35780" w:rsidP="00A35780">
            <w:pPr>
              <w:pStyle w:val="TableCell"/>
              <w:jc w:val="center"/>
              <w:rPr>
                <w:szCs w:val="17"/>
                <w:lang w:val="en-GB"/>
              </w:rPr>
            </w:pPr>
            <w:r w:rsidRPr="00A977B1">
              <w:rPr>
                <w:rFonts w:cs="Arial"/>
                <w:color w:val="000000"/>
                <w:szCs w:val="17"/>
                <w:lang w:val="en-GB"/>
              </w:rPr>
              <w:t>81%</w:t>
            </w:r>
          </w:p>
        </w:tc>
        <w:tc>
          <w:tcPr>
            <w:tcW w:w="652" w:type="dxa"/>
            <w:tcBorders>
              <w:top w:val="single" w:sz="4" w:space="0" w:color="auto"/>
            </w:tcBorders>
            <w:vAlign w:val="center"/>
          </w:tcPr>
          <w:p w14:paraId="7723B383" w14:textId="1BECFC3D"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tcBorders>
              <w:top w:val="single" w:sz="4" w:space="0" w:color="auto"/>
            </w:tcBorders>
            <w:vAlign w:val="center"/>
          </w:tcPr>
          <w:p w14:paraId="01D756A9" w14:textId="6D956548"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tcBorders>
              <w:top w:val="single" w:sz="4" w:space="0" w:color="auto"/>
            </w:tcBorders>
            <w:vAlign w:val="center"/>
          </w:tcPr>
          <w:p w14:paraId="2FAA9709" w14:textId="2A593873"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tcBorders>
              <w:top w:val="single" w:sz="4" w:space="0" w:color="auto"/>
            </w:tcBorders>
            <w:vAlign w:val="center"/>
          </w:tcPr>
          <w:p w14:paraId="3E710438" w14:textId="5213BDE4"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34E3301C" w14:textId="77777777" w:rsidTr="00351054">
        <w:trPr>
          <w:cnfStyle w:val="000000010000" w:firstRow="0" w:lastRow="0" w:firstColumn="0" w:lastColumn="0" w:oddVBand="0" w:evenVBand="0" w:oddHBand="0" w:evenHBand="1" w:firstRowFirstColumn="0" w:firstRowLastColumn="0" w:lastRowFirstColumn="0" w:lastRowLastColumn="0"/>
        </w:trPr>
        <w:tc>
          <w:tcPr>
            <w:tcW w:w="4677" w:type="dxa"/>
            <w:vAlign w:val="center"/>
          </w:tcPr>
          <w:p w14:paraId="3CE90F01" w14:textId="7BD5B68F" w:rsidR="00A35780" w:rsidRPr="00A977B1" w:rsidRDefault="00A35780" w:rsidP="00A35780">
            <w:pPr>
              <w:pStyle w:val="TableCell"/>
              <w:jc w:val="left"/>
              <w:rPr>
                <w:szCs w:val="17"/>
                <w:lang w:val="en-GB"/>
              </w:rPr>
            </w:pPr>
            <w:r w:rsidRPr="00A977B1">
              <w:rPr>
                <w:rFonts w:cs="Arial"/>
                <w:color w:val="000000"/>
                <w:szCs w:val="17"/>
                <w:lang w:val="en-GB"/>
              </w:rPr>
              <w:t>Database of local suppliers</w:t>
            </w:r>
          </w:p>
        </w:tc>
        <w:tc>
          <w:tcPr>
            <w:tcW w:w="652" w:type="dxa"/>
            <w:vAlign w:val="center"/>
          </w:tcPr>
          <w:p w14:paraId="53F17659" w14:textId="5DB6B5A3" w:rsidR="00A35780" w:rsidRPr="00A977B1" w:rsidRDefault="00A35780" w:rsidP="00A35780">
            <w:pPr>
              <w:pStyle w:val="TableCell"/>
              <w:jc w:val="center"/>
              <w:rPr>
                <w:szCs w:val="17"/>
                <w:lang w:val="en-GB"/>
              </w:rPr>
            </w:pPr>
            <w:r w:rsidRPr="00A977B1">
              <w:rPr>
                <w:rFonts w:cs="Arial"/>
                <w:color w:val="000000"/>
                <w:szCs w:val="17"/>
                <w:lang w:val="en-GB"/>
              </w:rPr>
              <w:t>65%</w:t>
            </w:r>
          </w:p>
        </w:tc>
        <w:tc>
          <w:tcPr>
            <w:tcW w:w="652" w:type="dxa"/>
            <w:vAlign w:val="center"/>
          </w:tcPr>
          <w:p w14:paraId="71561E21" w14:textId="45631577"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0FCEC41D" w14:textId="053B5B9D"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0A464436" w14:textId="5136404B"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44B37D85" w14:textId="19A21B2E"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r>
      <w:tr w:rsidR="00A35780" w:rsidRPr="00A977B1" w14:paraId="34FA76CA"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vAlign w:val="center"/>
          </w:tcPr>
          <w:p w14:paraId="2671E06D" w14:textId="4FD28D43" w:rsidR="00A35780" w:rsidRPr="00A977B1" w:rsidRDefault="00A35780" w:rsidP="00A35780">
            <w:pPr>
              <w:pStyle w:val="TableCell"/>
              <w:jc w:val="left"/>
              <w:rPr>
                <w:szCs w:val="17"/>
                <w:lang w:val="en-GB"/>
              </w:rPr>
            </w:pPr>
            <w:r w:rsidRPr="00A977B1">
              <w:rPr>
                <w:rFonts w:cs="Arial"/>
                <w:color w:val="000000"/>
                <w:szCs w:val="17"/>
                <w:lang w:val="en-GB"/>
              </w:rPr>
              <w:t>Matchmaking service between investors and local firms</w:t>
            </w:r>
          </w:p>
        </w:tc>
        <w:tc>
          <w:tcPr>
            <w:tcW w:w="652" w:type="dxa"/>
            <w:vAlign w:val="center"/>
          </w:tcPr>
          <w:p w14:paraId="79BB7116" w14:textId="27F1530B" w:rsidR="00A35780" w:rsidRPr="00A977B1" w:rsidRDefault="00A35780" w:rsidP="00A35780">
            <w:pPr>
              <w:pStyle w:val="TableCell"/>
              <w:jc w:val="center"/>
              <w:rPr>
                <w:szCs w:val="17"/>
                <w:lang w:val="en-GB"/>
              </w:rPr>
            </w:pPr>
            <w:r w:rsidRPr="00A977B1">
              <w:rPr>
                <w:rFonts w:cs="Arial"/>
                <w:color w:val="000000"/>
                <w:szCs w:val="17"/>
                <w:lang w:val="en-GB"/>
              </w:rPr>
              <w:t>65%</w:t>
            </w:r>
          </w:p>
        </w:tc>
        <w:tc>
          <w:tcPr>
            <w:tcW w:w="652" w:type="dxa"/>
            <w:vAlign w:val="center"/>
          </w:tcPr>
          <w:p w14:paraId="26EE61BD" w14:textId="061E1EAF"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2228562B" w14:textId="4C8BC32A"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007E868B" w14:textId="28CB06D0"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0FC2A96" w14:textId="664F17DE"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4CFC7A6B" w14:textId="77777777" w:rsidTr="00351054">
        <w:trPr>
          <w:cnfStyle w:val="000000010000" w:firstRow="0" w:lastRow="0" w:firstColumn="0" w:lastColumn="0" w:oddVBand="0" w:evenVBand="0" w:oddHBand="0" w:evenHBand="1" w:firstRowFirstColumn="0" w:firstRowLastColumn="0" w:lastRowFirstColumn="0" w:lastRowLastColumn="0"/>
        </w:trPr>
        <w:tc>
          <w:tcPr>
            <w:tcW w:w="4677" w:type="dxa"/>
            <w:vAlign w:val="center"/>
          </w:tcPr>
          <w:p w14:paraId="0FF0D3FA" w14:textId="45A932A5" w:rsidR="00A35780" w:rsidRPr="00A977B1" w:rsidRDefault="00A35780" w:rsidP="00A35780">
            <w:pPr>
              <w:pStyle w:val="TableCell"/>
              <w:jc w:val="left"/>
              <w:rPr>
                <w:szCs w:val="17"/>
                <w:lang w:val="en-GB"/>
              </w:rPr>
            </w:pPr>
            <w:r w:rsidRPr="00A977B1">
              <w:rPr>
                <w:rFonts w:cs="Arial"/>
                <w:color w:val="000000"/>
                <w:szCs w:val="17"/>
                <w:lang w:val="en-GB"/>
              </w:rPr>
              <w:t>Linkage program</w:t>
            </w:r>
            <w:r w:rsidR="00D24DEA">
              <w:rPr>
                <w:rFonts w:cs="Arial"/>
                <w:color w:val="000000"/>
                <w:szCs w:val="17"/>
                <w:lang w:val="en-GB"/>
              </w:rPr>
              <w:t>m</w:t>
            </w:r>
            <w:r w:rsidR="00145D82">
              <w:rPr>
                <w:rFonts w:cs="Arial"/>
                <w:color w:val="000000"/>
                <w:szCs w:val="17"/>
                <w:lang w:val="en-GB"/>
              </w:rPr>
              <w:t>e</w:t>
            </w:r>
            <w:r w:rsidRPr="00A977B1">
              <w:rPr>
                <w:rFonts w:cs="Arial"/>
                <w:color w:val="000000"/>
                <w:szCs w:val="17"/>
                <w:lang w:val="en-GB"/>
              </w:rPr>
              <w:t>s</w:t>
            </w:r>
          </w:p>
        </w:tc>
        <w:tc>
          <w:tcPr>
            <w:tcW w:w="652" w:type="dxa"/>
            <w:vAlign w:val="center"/>
          </w:tcPr>
          <w:p w14:paraId="2500CD7B" w14:textId="3A0E63C7" w:rsidR="00A35780" w:rsidRPr="00A977B1" w:rsidRDefault="00A35780" w:rsidP="00A35780">
            <w:pPr>
              <w:pStyle w:val="TableCell"/>
              <w:jc w:val="center"/>
              <w:rPr>
                <w:szCs w:val="17"/>
                <w:lang w:val="en-GB"/>
              </w:rPr>
            </w:pPr>
            <w:r w:rsidRPr="00A977B1">
              <w:rPr>
                <w:rFonts w:cs="Arial"/>
                <w:color w:val="000000"/>
                <w:szCs w:val="17"/>
                <w:lang w:val="en-GB"/>
              </w:rPr>
              <w:t>58%</w:t>
            </w:r>
          </w:p>
        </w:tc>
        <w:tc>
          <w:tcPr>
            <w:tcW w:w="652" w:type="dxa"/>
            <w:vAlign w:val="center"/>
          </w:tcPr>
          <w:p w14:paraId="2AD79FE2" w14:textId="606EC1AB"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2D1D5D6C" w14:textId="1408AB1E"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5A95B42D" w14:textId="2B996A40"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3C2E082D" w14:textId="5C3AA4F3"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71BEC42D"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vAlign w:val="center"/>
          </w:tcPr>
          <w:p w14:paraId="1B5AC8FC" w14:textId="5CD4AC94" w:rsidR="00A35780" w:rsidRPr="00A977B1" w:rsidRDefault="00A35780" w:rsidP="00A35780">
            <w:pPr>
              <w:pStyle w:val="TableCell"/>
              <w:jc w:val="left"/>
              <w:rPr>
                <w:szCs w:val="17"/>
                <w:lang w:val="en-GB"/>
              </w:rPr>
            </w:pPr>
            <w:r w:rsidRPr="00A977B1">
              <w:rPr>
                <w:rFonts w:cs="Arial"/>
                <w:color w:val="000000"/>
                <w:szCs w:val="17"/>
                <w:lang w:val="en-GB"/>
              </w:rPr>
              <w:t>Cluster programmes</w:t>
            </w:r>
          </w:p>
        </w:tc>
        <w:tc>
          <w:tcPr>
            <w:tcW w:w="652" w:type="dxa"/>
            <w:vAlign w:val="center"/>
          </w:tcPr>
          <w:p w14:paraId="04DD1CEE" w14:textId="65B32DE6" w:rsidR="00A35780" w:rsidRPr="00A977B1" w:rsidRDefault="00A35780" w:rsidP="00A35780">
            <w:pPr>
              <w:pStyle w:val="TableCell"/>
              <w:jc w:val="center"/>
              <w:rPr>
                <w:szCs w:val="17"/>
                <w:lang w:val="en-GB"/>
              </w:rPr>
            </w:pPr>
            <w:r w:rsidRPr="00A977B1">
              <w:rPr>
                <w:rFonts w:cs="Arial"/>
                <w:color w:val="000000"/>
                <w:szCs w:val="17"/>
                <w:lang w:val="en-GB"/>
              </w:rPr>
              <w:t>48%</w:t>
            </w:r>
          </w:p>
        </w:tc>
        <w:tc>
          <w:tcPr>
            <w:tcW w:w="652" w:type="dxa"/>
            <w:vAlign w:val="center"/>
          </w:tcPr>
          <w:p w14:paraId="31AB7E79" w14:textId="38F9F6AE"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B1FC1A6" w14:textId="0E5B3941"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2C54C10B" w14:textId="6D83E896"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4A7E7E44" w14:textId="787EA1F3"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327BCFDB" w14:textId="77777777" w:rsidTr="00351054">
        <w:trPr>
          <w:cnfStyle w:val="000000010000" w:firstRow="0" w:lastRow="0" w:firstColumn="0" w:lastColumn="0" w:oddVBand="0" w:evenVBand="0" w:oddHBand="0" w:evenHBand="1" w:firstRowFirstColumn="0" w:firstRowLastColumn="0" w:lastRowFirstColumn="0" w:lastRowLastColumn="0"/>
        </w:trPr>
        <w:tc>
          <w:tcPr>
            <w:tcW w:w="4677" w:type="dxa"/>
            <w:vAlign w:val="center"/>
          </w:tcPr>
          <w:p w14:paraId="1F230762" w14:textId="1EA03755" w:rsidR="00A35780" w:rsidRPr="00A977B1" w:rsidRDefault="00A35780" w:rsidP="00CF5954">
            <w:pPr>
              <w:pStyle w:val="TableCell"/>
              <w:jc w:val="left"/>
              <w:rPr>
                <w:szCs w:val="17"/>
                <w:lang w:val="en-GB"/>
              </w:rPr>
            </w:pPr>
            <w:r w:rsidRPr="00A977B1">
              <w:rPr>
                <w:rFonts w:cs="Arial"/>
                <w:color w:val="000000"/>
                <w:szCs w:val="17"/>
                <w:lang w:val="en-GB"/>
              </w:rPr>
              <w:t>Mitigation of conflicts (e.g. between investors</w:t>
            </w:r>
            <w:r w:rsidR="00CF5954">
              <w:rPr>
                <w:rFonts w:cs="Arial"/>
                <w:color w:val="000000"/>
                <w:szCs w:val="17"/>
                <w:lang w:val="en-GB"/>
              </w:rPr>
              <w:t xml:space="preserve"> &amp; </w:t>
            </w:r>
            <w:r w:rsidRPr="00A977B1">
              <w:rPr>
                <w:rFonts w:cs="Arial"/>
                <w:color w:val="000000"/>
                <w:szCs w:val="17"/>
                <w:lang w:val="en-GB"/>
              </w:rPr>
              <w:t>authorities/communities)</w:t>
            </w:r>
          </w:p>
        </w:tc>
        <w:tc>
          <w:tcPr>
            <w:tcW w:w="652" w:type="dxa"/>
            <w:vAlign w:val="center"/>
          </w:tcPr>
          <w:p w14:paraId="07E87956" w14:textId="03B64611" w:rsidR="00A35780" w:rsidRPr="00A977B1" w:rsidRDefault="00A35780" w:rsidP="00A35780">
            <w:pPr>
              <w:pStyle w:val="TableCell"/>
              <w:jc w:val="center"/>
              <w:rPr>
                <w:szCs w:val="17"/>
                <w:lang w:val="en-GB"/>
              </w:rPr>
            </w:pPr>
            <w:r w:rsidRPr="00A977B1">
              <w:rPr>
                <w:rFonts w:cs="Arial"/>
                <w:color w:val="000000"/>
                <w:szCs w:val="17"/>
                <w:lang w:val="en-GB"/>
              </w:rPr>
              <w:t>45%</w:t>
            </w:r>
          </w:p>
        </w:tc>
        <w:tc>
          <w:tcPr>
            <w:tcW w:w="652" w:type="dxa"/>
            <w:vAlign w:val="center"/>
          </w:tcPr>
          <w:p w14:paraId="1DDF0ADA" w14:textId="69E0054F"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5B8C70DB" w14:textId="5238A7D4"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0B01548" w14:textId="628B51B8"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4E2D1497" w14:textId="15CAFAA7"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336F753B"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vAlign w:val="center"/>
          </w:tcPr>
          <w:p w14:paraId="074D65F3" w14:textId="1266AA2C" w:rsidR="00A35780" w:rsidRPr="00A977B1" w:rsidRDefault="00A35780" w:rsidP="00A35780">
            <w:pPr>
              <w:pStyle w:val="TableCell"/>
              <w:jc w:val="left"/>
              <w:rPr>
                <w:szCs w:val="17"/>
                <w:lang w:val="en-GB"/>
              </w:rPr>
            </w:pPr>
            <w:r w:rsidRPr="00A977B1">
              <w:rPr>
                <w:rFonts w:cs="Arial"/>
                <w:color w:val="000000"/>
                <w:szCs w:val="17"/>
                <w:lang w:val="en-GB"/>
              </w:rPr>
              <w:t>Capacity-building support for local firms</w:t>
            </w:r>
          </w:p>
        </w:tc>
        <w:tc>
          <w:tcPr>
            <w:tcW w:w="652" w:type="dxa"/>
            <w:vAlign w:val="center"/>
          </w:tcPr>
          <w:p w14:paraId="3F4CC550" w14:textId="625799ED" w:rsidR="00A35780" w:rsidRPr="00A977B1" w:rsidRDefault="00A35780" w:rsidP="00A35780">
            <w:pPr>
              <w:pStyle w:val="TableCell"/>
              <w:jc w:val="center"/>
              <w:rPr>
                <w:szCs w:val="17"/>
                <w:lang w:val="en-GB"/>
              </w:rPr>
            </w:pPr>
            <w:r w:rsidRPr="00A977B1">
              <w:rPr>
                <w:rFonts w:cs="Arial"/>
                <w:color w:val="000000"/>
                <w:szCs w:val="17"/>
                <w:lang w:val="en-GB"/>
              </w:rPr>
              <w:t>39%</w:t>
            </w:r>
          </w:p>
        </w:tc>
        <w:tc>
          <w:tcPr>
            <w:tcW w:w="652" w:type="dxa"/>
            <w:vAlign w:val="center"/>
          </w:tcPr>
          <w:p w14:paraId="7F3A6414" w14:textId="3515BE4C"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c>
          <w:tcPr>
            <w:tcW w:w="652" w:type="dxa"/>
            <w:vAlign w:val="center"/>
          </w:tcPr>
          <w:p w14:paraId="7E1E412F" w14:textId="1E323FEE"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69B793E5" w14:textId="08CB4A88"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42B1A0B7" w14:textId="12A0AB52"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r>
      <w:tr w:rsidR="00A35780" w:rsidRPr="00A977B1" w14:paraId="3627EFC3" w14:textId="77777777" w:rsidTr="00351054">
        <w:trPr>
          <w:cnfStyle w:val="000000010000" w:firstRow="0" w:lastRow="0" w:firstColumn="0" w:lastColumn="0" w:oddVBand="0" w:evenVBand="0" w:oddHBand="0" w:evenHBand="1" w:firstRowFirstColumn="0" w:firstRowLastColumn="0" w:lastRowFirstColumn="0" w:lastRowLastColumn="0"/>
        </w:trPr>
        <w:tc>
          <w:tcPr>
            <w:tcW w:w="4677" w:type="dxa"/>
            <w:vAlign w:val="center"/>
          </w:tcPr>
          <w:p w14:paraId="20C0BD80" w14:textId="7BD371BC" w:rsidR="00A35780" w:rsidRPr="00A977B1" w:rsidRDefault="00A35780" w:rsidP="00A35780">
            <w:pPr>
              <w:pStyle w:val="TableCell"/>
              <w:jc w:val="left"/>
              <w:rPr>
                <w:szCs w:val="17"/>
                <w:lang w:val="en-GB"/>
              </w:rPr>
            </w:pPr>
            <w:r w:rsidRPr="00A977B1">
              <w:rPr>
                <w:rFonts w:cs="Arial"/>
                <w:color w:val="000000"/>
                <w:szCs w:val="17"/>
                <w:lang w:val="en-GB"/>
              </w:rPr>
              <w:t>Assistance in recruiting local staff</w:t>
            </w:r>
          </w:p>
        </w:tc>
        <w:tc>
          <w:tcPr>
            <w:tcW w:w="652" w:type="dxa"/>
            <w:vAlign w:val="center"/>
          </w:tcPr>
          <w:p w14:paraId="1D32A38E" w14:textId="36CBC3BB" w:rsidR="00A35780" w:rsidRPr="00A977B1" w:rsidRDefault="00A35780" w:rsidP="00A35780">
            <w:pPr>
              <w:pStyle w:val="TableCell"/>
              <w:jc w:val="center"/>
              <w:rPr>
                <w:szCs w:val="17"/>
                <w:lang w:val="en-GB"/>
              </w:rPr>
            </w:pPr>
            <w:r w:rsidRPr="00A977B1">
              <w:rPr>
                <w:rFonts w:cs="Arial"/>
                <w:color w:val="000000"/>
                <w:szCs w:val="17"/>
                <w:lang w:val="en-GB"/>
              </w:rPr>
              <w:t>39%</w:t>
            </w:r>
          </w:p>
        </w:tc>
        <w:tc>
          <w:tcPr>
            <w:tcW w:w="652" w:type="dxa"/>
            <w:vAlign w:val="center"/>
          </w:tcPr>
          <w:p w14:paraId="3AB94013" w14:textId="4220BE91"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6FDBE94C" w14:textId="7D3B8E26"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629204FD" w14:textId="70C940F6"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6D64BD5" w14:textId="43AD8EAB"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r>
      <w:tr w:rsidR="00A35780" w:rsidRPr="00A977B1" w14:paraId="28E32B13"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vAlign w:val="center"/>
          </w:tcPr>
          <w:p w14:paraId="3A916998" w14:textId="64676B9B" w:rsidR="00A35780" w:rsidRPr="00A977B1" w:rsidRDefault="00A35780" w:rsidP="00A35780">
            <w:pPr>
              <w:pStyle w:val="TableCell"/>
              <w:jc w:val="left"/>
              <w:rPr>
                <w:szCs w:val="17"/>
                <w:lang w:val="en-GB"/>
              </w:rPr>
            </w:pPr>
            <w:r w:rsidRPr="00A977B1">
              <w:rPr>
                <w:rFonts w:cs="Arial"/>
                <w:color w:val="000000"/>
                <w:szCs w:val="17"/>
                <w:lang w:val="en-GB"/>
              </w:rPr>
              <w:t>Ombudsman Intervention</w:t>
            </w:r>
          </w:p>
        </w:tc>
        <w:tc>
          <w:tcPr>
            <w:tcW w:w="652" w:type="dxa"/>
            <w:vAlign w:val="center"/>
          </w:tcPr>
          <w:p w14:paraId="26DCEED4" w14:textId="5BBB8C66" w:rsidR="00A35780" w:rsidRPr="00A977B1" w:rsidRDefault="00A35780" w:rsidP="00A35780">
            <w:pPr>
              <w:pStyle w:val="TableCell"/>
              <w:jc w:val="center"/>
              <w:rPr>
                <w:szCs w:val="17"/>
                <w:lang w:val="en-GB"/>
              </w:rPr>
            </w:pPr>
            <w:r w:rsidRPr="00A977B1">
              <w:rPr>
                <w:rFonts w:cs="Arial"/>
                <w:color w:val="000000"/>
                <w:szCs w:val="17"/>
                <w:lang w:val="en-GB"/>
              </w:rPr>
              <w:t>26%</w:t>
            </w:r>
          </w:p>
        </w:tc>
        <w:tc>
          <w:tcPr>
            <w:tcW w:w="652" w:type="dxa"/>
            <w:vAlign w:val="center"/>
          </w:tcPr>
          <w:p w14:paraId="778CC382" w14:textId="45060F61"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4437FB22" w14:textId="1488CC6A"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6E354384" w14:textId="5F16BF9E"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0C6C115F" w14:textId="06C20AAF" w:rsidR="00A35780" w:rsidRPr="00A977B1" w:rsidRDefault="00A35780" w:rsidP="00A35780">
            <w:pPr>
              <w:pStyle w:val="TableCell"/>
              <w:jc w:val="center"/>
              <w:rPr>
                <w:sz w:val="18"/>
                <w:szCs w:val="18"/>
                <w:lang w:val="en-GB"/>
              </w:rPr>
            </w:pPr>
            <w:r w:rsidRPr="00A977B1">
              <w:rPr>
                <w:rFonts w:ascii="Wingdings" w:hAnsi="Wingdings" w:cs="Arial"/>
                <w:color w:val="000000"/>
                <w:sz w:val="18"/>
                <w:szCs w:val="18"/>
                <w:lang w:val="en-GB"/>
              </w:rPr>
              <w:t></w:t>
            </w:r>
          </w:p>
        </w:tc>
      </w:tr>
      <w:tr w:rsidR="00A35780" w:rsidRPr="00A977B1" w14:paraId="403C89FE" w14:textId="77777777" w:rsidTr="00351054">
        <w:trPr>
          <w:cnfStyle w:val="000000010000" w:firstRow="0" w:lastRow="0" w:firstColumn="0" w:lastColumn="0" w:oddVBand="0" w:evenVBand="0" w:oddHBand="0" w:evenHBand="1" w:firstRowFirstColumn="0" w:firstRowLastColumn="0" w:lastRowFirstColumn="0" w:lastRowLastColumn="0"/>
        </w:trPr>
        <w:tc>
          <w:tcPr>
            <w:tcW w:w="4677" w:type="dxa"/>
            <w:vAlign w:val="center"/>
          </w:tcPr>
          <w:p w14:paraId="2A05DBF7" w14:textId="47A09A6D" w:rsidR="00A35780" w:rsidRPr="00A977B1" w:rsidRDefault="00A35780" w:rsidP="00A35780">
            <w:pPr>
              <w:pStyle w:val="TableCell"/>
              <w:jc w:val="left"/>
              <w:rPr>
                <w:szCs w:val="17"/>
                <w:lang w:val="en-GB"/>
              </w:rPr>
            </w:pPr>
            <w:r w:rsidRPr="00A977B1">
              <w:rPr>
                <w:rFonts w:cs="Arial"/>
                <w:color w:val="000000"/>
                <w:szCs w:val="17"/>
                <w:lang w:val="en-GB"/>
              </w:rPr>
              <w:t>Personnel recruitment programmes</w:t>
            </w:r>
          </w:p>
        </w:tc>
        <w:tc>
          <w:tcPr>
            <w:tcW w:w="652" w:type="dxa"/>
            <w:vAlign w:val="center"/>
          </w:tcPr>
          <w:p w14:paraId="691BA415" w14:textId="7E0F5C45" w:rsidR="00A35780" w:rsidRPr="00A977B1" w:rsidRDefault="00A35780" w:rsidP="00A35780">
            <w:pPr>
              <w:pStyle w:val="TableCell"/>
              <w:jc w:val="center"/>
              <w:rPr>
                <w:szCs w:val="17"/>
                <w:lang w:val="en-GB"/>
              </w:rPr>
            </w:pPr>
            <w:r w:rsidRPr="00A977B1">
              <w:rPr>
                <w:rFonts w:cs="Arial"/>
                <w:color w:val="000000"/>
                <w:szCs w:val="17"/>
                <w:lang w:val="en-GB"/>
              </w:rPr>
              <w:t>23%</w:t>
            </w:r>
          </w:p>
        </w:tc>
        <w:tc>
          <w:tcPr>
            <w:tcW w:w="652" w:type="dxa"/>
            <w:vAlign w:val="center"/>
          </w:tcPr>
          <w:p w14:paraId="3DD45AA9" w14:textId="2E53C5F8"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07600ECB" w14:textId="5EDE7B28"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6A6ED9F" w14:textId="182792FD"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CF6B9A4" w14:textId="413EA523"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r>
      <w:tr w:rsidR="00A35780" w:rsidRPr="00A977B1" w14:paraId="222C728C" w14:textId="77777777" w:rsidTr="00351054">
        <w:trPr>
          <w:cnfStyle w:val="000000100000" w:firstRow="0" w:lastRow="0" w:firstColumn="0" w:lastColumn="0" w:oddVBand="0" w:evenVBand="0" w:oddHBand="1" w:evenHBand="0" w:firstRowFirstColumn="0" w:firstRowLastColumn="0" w:lastRowFirstColumn="0" w:lastRowLastColumn="0"/>
        </w:trPr>
        <w:tc>
          <w:tcPr>
            <w:tcW w:w="4677" w:type="dxa"/>
            <w:vAlign w:val="center"/>
          </w:tcPr>
          <w:p w14:paraId="60833987" w14:textId="3736A7E3" w:rsidR="00A35780" w:rsidRPr="00A977B1" w:rsidRDefault="00A35780" w:rsidP="00A35780">
            <w:pPr>
              <w:pStyle w:val="TableCell"/>
              <w:jc w:val="left"/>
              <w:rPr>
                <w:szCs w:val="17"/>
                <w:lang w:val="en-GB"/>
              </w:rPr>
            </w:pPr>
            <w:r w:rsidRPr="00A977B1">
              <w:rPr>
                <w:rFonts w:cs="Arial"/>
                <w:color w:val="000000"/>
                <w:szCs w:val="17"/>
                <w:lang w:val="en-GB"/>
              </w:rPr>
              <w:t>Training or educational programmes for local staff</w:t>
            </w:r>
          </w:p>
        </w:tc>
        <w:tc>
          <w:tcPr>
            <w:tcW w:w="652" w:type="dxa"/>
            <w:vAlign w:val="center"/>
          </w:tcPr>
          <w:p w14:paraId="0EABA49B" w14:textId="38DA8E74" w:rsidR="00A35780" w:rsidRPr="00A977B1" w:rsidRDefault="00A35780" w:rsidP="00A35780">
            <w:pPr>
              <w:pStyle w:val="TableCell"/>
              <w:jc w:val="center"/>
              <w:rPr>
                <w:szCs w:val="17"/>
                <w:lang w:val="en-GB"/>
              </w:rPr>
            </w:pPr>
            <w:r w:rsidRPr="00A977B1">
              <w:rPr>
                <w:rFonts w:cs="Arial"/>
                <w:color w:val="000000"/>
                <w:szCs w:val="17"/>
                <w:lang w:val="en-GB"/>
              </w:rPr>
              <w:t>19%</w:t>
            </w:r>
          </w:p>
        </w:tc>
        <w:tc>
          <w:tcPr>
            <w:tcW w:w="652" w:type="dxa"/>
            <w:vAlign w:val="center"/>
          </w:tcPr>
          <w:p w14:paraId="2542DDAA" w14:textId="3397C877"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0665744C" w14:textId="60F24C47"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113E92A2" w14:textId="4A6531D5"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c>
          <w:tcPr>
            <w:tcW w:w="652" w:type="dxa"/>
            <w:vAlign w:val="center"/>
          </w:tcPr>
          <w:p w14:paraId="288C1C75" w14:textId="4FD7E1C1" w:rsidR="00A35780" w:rsidRPr="00A977B1" w:rsidRDefault="00A35780" w:rsidP="00A35780">
            <w:pPr>
              <w:pStyle w:val="TableCell"/>
              <w:jc w:val="center"/>
              <w:rPr>
                <w:sz w:val="18"/>
                <w:szCs w:val="18"/>
                <w:lang w:val="en-GB"/>
              </w:rPr>
            </w:pPr>
            <w:r w:rsidRPr="00A977B1">
              <w:rPr>
                <w:rFonts w:cs="Arial"/>
                <w:color w:val="000000"/>
                <w:sz w:val="18"/>
                <w:szCs w:val="18"/>
                <w:lang w:val="en-GB"/>
              </w:rPr>
              <w:t> </w:t>
            </w:r>
          </w:p>
        </w:tc>
      </w:tr>
    </w:tbl>
    <w:p w14:paraId="73BE6368" w14:textId="4B7C1205" w:rsidR="0058315B" w:rsidRDefault="00E21076" w:rsidP="0058315B">
      <w:pPr>
        <w:pStyle w:val="Sourcenotes"/>
      </w:pPr>
      <w:r w:rsidRPr="00454399">
        <w:rPr>
          <w:i/>
        </w:rPr>
        <w:t>Source</w:t>
      </w:r>
      <w:r>
        <w:t xml:space="preserve">: OECD-IDB </w:t>
      </w:r>
      <w:r w:rsidRPr="00754E52">
        <w:t>IPA survey of Investment Promotion Agencies (2019</w:t>
      </w:r>
      <w:r w:rsidR="000A7147">
        <w:t>)</w:t>
      </w:r>
      <w:r w:rsidR="008901A8">
        <w:t>.</w:t>
      </w:r>
    </w:p>
    <w:p w14:paraId="2DE79F2C" w14:textId="646229FB" w:rsidR="0058315B" w:rsidRDefault="0058315B" w:rsidP="0058315B">
      <w:pPr>
        <w:pStyle w:val="Heading3"/>
      </w:pPr>
      <w:r>
        <w:t>Policy advocacy</w:t>
      </w:r>
      <w:r w:rsidR="00100F71">
        <w:t xml:space="preserve"> is recognised as important to improve the investment climate</w:t>
      </w:r>
    </w:p>
    <w:p w14:paraId="4312D9F4" w14:textId="11CDD4FA" w:rsidR="000A7147" w:rsidRDefault="005603ED" w:rsidP="00000ACC">
      <w:pPr>
        <w:pStyle w:val="Para0"/>
        <w:ind w:left="720" w:hanging="40"/>
      </w:pPr>
      <w:r>
        <w:t xml:space="preserve">Policy advocacy broadly consists of actions to monitor the investment </w:t>
      </w:r>
      <w:r w:rsidR="00BF618B">
        <w:t xml:space="preserve">climate (e.g. </w:t>
      </w:r>
      <w:r w:rsidR="00000ACC">
        <w:t>international</w:t>
      </w:r>
      <w:r w:rsidR="00BF618B">
        <w:t xml:space="preserve"> rankings, surveys, </w:t>
      </w:r>
      <w:r w:rsidR="00000ACC">
        <w:t>meetings with business</w:t>
      </w:r>
      <w:r w:rsidR="00BF618B">
        <w:t xml:space="preserve">) </w:t>
      </w:r>
      <w:r w:rsidR="004C2590">
        <w:t>an</w:t>
      </w:r>
      <w:r w:rsidR="00BF618B">
        <w:t>d</w:t>
      </w:r>
      <w:r w:rsidR="004C2590">
        <w:t xml:space="preserve"> formal or informal feedback to the government on how to improve the investment climate</w:t>
      </w:r>
      <w:r w:rsidR="00BF618B">
        <w:t xml:space="preserve"> (e.g. meetings with high-ranking officials, participation in </w:t>
      </w:r>
      <w:r w:rsidR="00000ACC">
        <w:t xml:space="preserve">taskforces and </w:t>
      </w:r>
      <w:r w:rsidR="00BF618B">
        <w:t xml:space="preserve">councils, </w:t>
      </w:r>
      <w:r w:rsidR="00000ACC">
        <w:t>reports</w:t>
      </w:r>
      <w:r w:rsidR="00BF618B">
        <w:t xml:space="preserve">, </w:t>
      </w:r>
      <w:r w:rsidR="00000ACC">
        <w:t>p</w:t>
      </w:r>
      <w:r w:rsidR="00BF618B">
        <w:t>ublic awareness campaigns)</w:t>
      </w:r>
      <w:r w:rsidR="004C2590">
        <w:t xml:space="preserve">. </w:t>
      </w:r>
      <w:r w:rsidR="0058315B">
        <w:t xml:space="preserve">Although, policy advocacy represents only 6% of </w:t>
      </w:r>
      <w:r>
        <w:t xml:space="preserve">OECD </w:t>
      </w:r>
      <w:r w:rsidR="0058315B">
        <w:t>IPAs’ total budgets and 7% of their staff, seven activities out of twelve relating to policy advocacy are undertaken by more than 80% of agencies</w:t>
      </w:r>
      <w:r w:rsidR="00D51404">
        <w:t xml:space="preserve"> (OECD, 2018a)</w:t>
      </w:r>
      <w:r w:rsidR="0058315B">
        <w:t xml:space="preserve">. </w:t>
      </w:r>
      <w:r w:rsidR="00353D42">
        <w:t>Even in EaP count</w:t>
      </w:r>
      <w:r w:rsidR="00CB22D6">
        <w:t>ries, all of the surveyed IPAs undertake at least half of the policy advocacy activities</w:t>
      </w:r>
      <w:r w:rsidR="00002CA0">
        <w:t xml:space="preserve"> (Table 3.7)</w:t>
      </w:r>
      <w:r w:rsidR="00CB22D6">
        <w:t xml:space="preserve">. AZPROMO, in particular, assigns the greatest importance to policy advocacy allocating 20% of its staff time to 11 out of 12 activities related to monitoring the investment climate and providing feedback to government. </w:t>
      </w:r>
      <w:r w:rsidR="0058315B">
        <w:t>The extent to which policy advocacy actions are frequent among IPAs shows the importance of this function. Through their interactions with foreign investors, IPAs are best placed to understand their challenges and expectations, and can accordingly provide invaluable insights and feedback to enrich the policy-making process and contribute to enhancing the overall investment climate.</w:t>
      </w:r>
    </w:p>
    <w:p w14:paraId="489B3530" w14:textId="3EB7696D" w:rsidR="0002030D" w:rsidRDefault="00C47111" w:rsidP="00C47111">
      <w:pPr>
        <w:pStyle w:val="Para0"/>
        <w:ind w:left="720" w:hanging="40"/>
      </w:pPr>
      <w:r>
        <w:t xml:space="preserve">Use of analytical tools to monitor the investment climate is less common than meetings and consultations. The vast majority of IPAs track available rankings such as the World Economic Forum (WEF) Global Competitiveness Index and the World Bank’s Doing Business scores, but only 65% survey foreign investors, 42% provide inputs on regulatory impacts assessment, 35% survey domestic firms and 19% survey expatriate </w:t>
      </w:r>
      <w:r w:rsidR="00CB22D6">
        <w:t>staff</w:t>
      </w:r>
      <w:r>
        <w:t>.</w:t>
      </w:r>
      <w:r w:rsidR="00CB22D6">
        <w:t xml:space="preserve"> In EaP countries, only AZPROMO undertakes all of these relatively more resource-intensive and time-consuming</w:t>
      </w:r>
      <w:r w:rsidR="00421E90">
        <w:t xml:space="preserve"> activities, while Ukraine Invest also offers inputs to regulatory impact assessments.</w:t>
      </w:r>
      <w:r w:rsidR="002B06D8">
        <w:t xml:space="preserve"> </w:t>
      </w:r>
      <w:r w:rsidR="00132EAD">
        <w:t xml:space="preserve">In terms of reporting to government, </w:t>
      </w:r>
      <w:r w:rsidR="0002030D">
        <w:t>all EaP IPAs offer informal feedback on the investment climate and participate in inter-governmental taskforces or councils on investment climate reform. Ukraine Invest covers the broadest range of activities, from meetings with heads of state to public awareness campaigns, production of reports and informal feedback.</w:t>
      </w:r>
    </w:p>
    <w:p w14:paraId="2689BF7B" w14:textId="34E92413" w:rsidR="000C5C88" w:rsidRDefault="000C5C88" w:rsidP="005603ED">
      <w:pPr>
        <w:pStyle w:val="Caption"/>
      </w:pPr>
      <w:bookmarkStart w:id="91" w:name="_Toc33443317"/>
      <w:r>
        <w:lastRenderedPageBreak/>
        <w:t xml:space="preserve">Table </w:t>
      </w:r>
      <w:fldSimple w:instr=" STYLEREF 1 \s ">
        <w:r>
          <w:rPr>
            <w:noProof/>
          </w:rPr>
          <w:t>3</w:t>
        </w:r>
      </w:fldSimple>
      <w:r>
        <w:t>.</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xml:space="preserve">. </w:t>
      </w:r>
      <w:r w:rsidR="00132EAD">
        <w:t>Policy advocacy activities of IPAs</w:t>
      </w:r>
      <w:bookmarkEnd w:id="91"/>
    </w:p>
    <w:tbl>
      <w:tblPr>
        <w:tblStyle w:val="OECD"/>
        <w:tblW w:w="7938" w:type="dxa"/>
        <w:tblLook w:val="0420" w:firstRow="1" w:lastRow="0" w:firstColumn="0" w:lastColumn="0" w:noHBand="0" w:noVBand="1"/>
      </w:tblPr>
      <w:tblGrid>
        <w:gridCol w:w="4253"/>
        <w:gridCol w:w="737"/>
        <w:gridCol w:w="737"/>
        <w:gridCol w:w="737"/>
        <w:gridCol w:w="737"/>
        <w:gridCol w:w="737"/>
      </w:tblGrid>
      <w:tr w:rsidR="00686A9B" w:rsidRPr="00454399" w14:paraId="0503A71A" w14:textId="77777777" w:rsidTr="00265D8C">
        <w:trPr>
          <w:cnfStyle w:val="100000000000" w:firstRow="1" w:lastRow="0" w:firstColumn="0" w:lastColumn="0" w:oddVBand="0" w:evenVBand="0" w:oddHBand="0" w:evenHBand="0" w:firstRowFirstColumn="0" w:firstRowLastColumn="0" w:lastRowFirstColumn="0" w:lastRowLastColumn="0"/>
        </w:trPr>
        <w:tc>
          <w:tcPr>
            <w:tcW w:w="4253" w:type="dxa"/>
            <w:tcBorders>
              <w:bottom w:val="single" w:sz="4" w:space="0" w:color="auto"/>
            </w:tcBorders>
            <w:vAlign w:val="center"/>
          </w:tcPr>
          <w:p w14:paraId="0F410664" w14:textId="73E8129D" w:rsidR="00686A9B" w:rsidRPr="00454399" w:rsidRDefault="00686A9B" w:rsidP="00686A9B">
            <w:pPr>
              <w:pStyle w:val="TableColumn"/>
              <w:jc w:val="left"/>
            </w:pPr>
            <w:r>
              <w:rPr>
                <w:rFonts w:cs="Arial"/>
                <w:color w:val="000000"/>
                <w:szCs w:val="17"/>
              </w:rPr>
              <w:t>Activity</w:t>
            </w:r>
          </w:p>
        </w:tc>
        <w:tc>
          <w:tcPr>
            <w:tcW w:w="737" w:type="dxa"/>
            <w:tcBorders>
              <w:bottom w:val="single" w:sz="4" w:space="0" w:color="auto"/>
            </w:tcBorders>
            <w:vAlign w:val="center"/>
          </w:tcPr>
          <w:p w14:paraId="72097E74" w14:textId="253EC16E" w:rsidR="00686A9B" w:rsidRPr="00454399" w:rsidRDefault="00686A9B" w:rsidP="00686A9B">
            <w:pPr>
              <w:pStyle w:val="TableColumn"/>
              <w:rPr>
                <w:bCs w:val="0"/>
              </w:rPr>
            </w:pPr>
            <w:r>
              <w:rPr>
                <w:rFonts w:cs="Arial"/>
                <w:color w:val="000000"/>
                <w:szCs w:val="17"/>
              </w:rPr>
              <w:t>% OECD IPAs</w:t>
            </w:r>
          </w:p>
        </w:tc>
        <w:tc>
          <w:tcPr>
            <w:tcW w:w="737" w:type="dxa"/>
            <w:tcBorders>
              <w:bottom w:val="single" w:sz="4" w:space="0" w:color="auto"/>
            </w:tcBorders>
            <w:vAlign w:val="center"/>
          </w:tcPr>
          <w:p w14:paraId="4C9ED7F6" w14:textId="5E73B3D4" w:rsidR="00686A9B" w:rsidRPr="00454399" w:rsidRDefault="00686A9B" w:rsidP="00686A9B">
            <w:pPr>
              <w:pStyle w:val="TableColumn"/>
            </w:pPr>
            <w:r>
              <w:rPr>
                <w:rFonts w:cs="Arial"/>
                <w:color w:val="000000"/>
                <w:szCs w:val="17"/>
              </w:rPr>
              <w:t>AZE</w:t>
            </w:r>
          </w:p>
        </w:tc>
        <w:tc>
          <w:tcPr>
            <w:tcW w:w="737" w:type="dxa"/>
            <w:tcBorders>
              <w:bottom w:val="single" w:sz="4" w:space="0" w:color="auto"/>
            </w:tcBorders>
            <w:vAlign w:val="center"/>
          </w:tcPr>
          <w:p w14:paraId="04CFC399" w14:textId="3C9BBFCC" w:rsidR="00686A9B" w:rsidRPr="00454399" w:rsidRDefault="00686A9B" w:rsidP="00686A9B">
            <w:pPr>
              <w:pStyle w:val="TableColumn"/>
            </w:pPr>
            <w:r>
              <w:rPr>
                <w:rFonts w:cs="Arial"/>
                <w:color w:val="000000"/>
                <w:szCs w:val="17"/>
              </w:rPr>
              <w:t>BLR</w:t>
            </w:r>
          </w:p>
        </w:tc>
        <w:tc>
          <w:tcPr>
            <w:tcW w:w="737" w:type="dxa"/>
            <w:tcBorders>
              <w:bottom w:val="single" w:sz="4" w:space="0" w:color="auto"/>
            </w:tcBorders>
            <w:vAlign w:val="center"/>
          </w:tcPr>
          <w:p w14:paraId="318F8625" w14:textId="7F3C10E9" w:rsidR="00686A9B" w:rsidRPr="00454399" w:rsidRDefault="00686A9B" w:rsidP="00686A9B">
            <w:pPr>
              <w:pStyle w:val="TableColumn"/>
            </w:pPr>
            <w:r>
              <w:rPr>
                <w:rFonts w:cs="Arial"/>
                <w:color w:val="000000"/>
                <w:szCs w:val="17"/>
              </w:rPr>
              <w:t>GEO</w:t>
            </w:r>
          </w:p>
        </w:tc>
        <w:tc>
          <w:tcPr>
            <w:tcW w:w="737" w:type="dxa"/>
            <w:tcBorders>
              <w:bottom w:val="single" w:sz="4" w:space="0" w:color="auto"/>
            </w:tcBorders>
            <w:vAlign w:val="center"/>
          </w:tcPr>
          <w:p w14:paraId="6A1A10CE" w14:textId="4707A00B" w:rsidR="00686A9B" w:rsidRPr="00454399" w:rsidRDefault="00686A9B" w:rsidP="00686A9B">
            <w:pPr>
              <w:pStyle w:val="TableColumn"/>
            </w:pPr>
            <w:r>
              <w:rPr>
                <w:rFonts w:cs="Arial"/>
                <w:color w:val="000000"/>
                <w:szCs w:val="17"/>
              </w:rPr>
              <w:t>UKR</w:t>
            </w:r>
          </w:p>
        </w:tc>
      </w:tr>
      <w:tr w:rsidR="00686A9B" w:rsidRPr="00454399" w14:paraId="7764DCBE"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tcBorders>
              <w:top w:val="single" w:sz="4" w:space="0" w:color="auto"/>
            </w:tcBorders>
            <w:vAlign w:val="center"/>
          </w:tcPr>
          <w:p w14:paraId="1F418551" w14:textId="5CDD811C" w:rsidR="00686A9B" w:rsidRPr="00265D8C" w:rsidRDefault="00686A9B" w:rsidP="00686A9B">
            <w:pPr>
              <w:pStyle w:val="TableRow"/>
            </w:pPr>
            <w:r>
              <w:rPr>
                <w:rFonts w:cs="Arial"/>
                <w:color w:val="000000"/>
                <w:szCs w:val="17"/>
              </w:rPr>
              <w:t>Meetings with the private sector or business associations</w:t>
            </w:r>
          </w:p>
        </w:tc>
        <w:tc>
          <w:tcPr>
            <w:tcW w:w="737" w:type="dxa"/>
            <w:tcBorders>
              <w:top w:val="single" w:sz="4" w:space="0" w:color="auto"/>
            </w:tcBorders>
            <w:vAlign w:val="center"/>
          </w:tcPr>
          <w:p w14:paraId="28C1C3F8" w14:textId="2C896318" w:rsidR="00686A9B" w:rsidRPr="00454399" w:rsidRDefault="00686A9B" w:rsidP="00686A9B">
            <w:pPr>
              <w:pStyle w:val="TableColumn"/>
            </w:pPr>
            <w:r>
              <w:rPr>
                <w:rFonts w:cs="Arial"/>
                <w:color w:val="000000"/>
                <w:szCs w:val="17"/>
              </w:rPr>
              <w:t>97%</w:t>
            </w:r>
          </w:p>
        </w:tc>
        <w:tc>
          <w:tcPr>
            <w:tcW w:w="737" w:type="dxa"/>
            <w:tcBorders>
              <w:top w:val="single" w:sz="4" w:space="0" w:color="auto"/>
            </w:tcBorders>
            <w:vAlign w:val="center"/>
          </w:tcPr>
          <w:p w14:paraId="2FA44161" w14:textId="2DAB648A" w:rsidR="00686A9B" w:rsidRPr="00454399" w:rsidRDefault="00686A9B" w:rsidP="00686A9B">
            <w:pPr>
              <w:pStyle w:val="TableColumn"/>
            </w:pPr>
            <w:r>
              <w:rPr>
                <w:rFonts w:ascii="Wingdings" w:hAnsi="Wingdings" w:cs="Arial"/>
                <w:color w:val="000000"/>
                <w:sz w:val="18"/>
                <w:szCs w:val="18"/>
              </w:rPr>
              <w:t></w:t>
            </w:r>
          </w:p>
        </w:tc>
        <w:tc>
          <w:tcPr>
            <w:tcW w:w="737" w:type="dxa"/>
            <w:tcBorders>
              <w:top w:val="single" w:sz="4" w:space="0" w:color="auto"/>
            </w:tcBorders>
            <w:vAlign w:val="center"/>
          </w:tcPr>
          <w:p w14:paraId="4B6CEE9E" w14:textId="6E9C4A79" w:rsidR="00686A9B" w:rsidRPr="00454399" w:rsidRDefault="00686A9B" w:rsidP="00686A9B">
            <w:pPr>
              <w:pStyle w:val="TableColumn"/>
            </w:pPr>
            <w:r>
              <w:rPr>
                <w:rFonts w:ascii="Wingdings" w:hAnsi="Wingdings" w:cs="Arial"/>
                <w:color w:val="000000"/>
                <w:sz w:val="18"/>
                <w:szCs w:val="18"/>
              </w:rPr>
              <w:t></w:t>
            </w:r>
          </w:p>
        </w:tc>
        <w:tc>
          <w:tcPr>
            <w:tcW w:w="737" w:type="dxa"/>
            <w:tcBorders>
              <w:top w:val="single" w:sz="4" w:space="0" w:color="auto"/>
            </w:tcBorders>
            <w:vAlign w:val="center"/>
          </w:tcPr>
          <w:p w14:paraId="2D0B0F12" w14:textId="0605A7CD" w:rsidR="00686A9B" w:rsidRPr="00454399" w:rsidRDefault="00686A9B" w:rsidP="00686A9B">
            <w:pPr>
              <w:pStyle w:val="TableColumn"/>
            </w:pPr>
            <w:r>
              <w:rPr>
                <w:rFonts w:ascii="Wingdings" w:hAnsi="Wingdings" w:cs="Arial"/>
                <w:color w:val="000000"/>
                <w:sz w:val="18"/>
                <w:szCs w:val="18"/>
              </w:rPr>
              <w:t></w:t>
            </w:r>
          </w:p>
        </w:tc>
        <w:tc>
          <w:tcPr>
            <w:tcW w:w="737" w:type="dxa"/>
            <w:tcBorders>
              <w:top w:val="single" w:sz="4" w:space="0" w:color="auto"/>
            </w:tcBorders>
            <w:vAlign w:val="center"/>
          </w:tcPr>
          <w:p w14:paraId="1C4E000E" w14:textId="6A7A869F" w:rsidR="00686A9B" w:rsidRPr="00454399" w:rsidRDefault="00686A9B" w:rsidP="00686A9B">
            <w:pPr>
              <w:pStyle w:val="TableColumn"/>
            </w:pPr>
            <w:r>
              <w:rPr>
                <w:rFonts w:ascii="Wingdings" w:hAnsi="Wingdings" w:cs="Arial"/>
                <w:color w:val="000000"/>
                <w:sz w:val="18"/>
                <w:szCs w:val="18"/>
              </w:rPr>
              <w:t></w:t>
            </w:r>
          </w:p>
        </w:tc>
      </w:tr>
      <w:tr w:rsidR="00686A9B" w:rsidRPr="00454399" w14:paraId="1A068CA8"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7375660C" w14:textId="753CD279" w:rsidR="00686A9B" w:rsidRPr="00265D8C" w:rsidRDefault="00686A9B" w:rsidP="00686A9B">
            <w:pPr>
              <w:pStyle w:val="TableRow"/>
            </w:pPr>
            <w:r>
              <w:rPr>
                <w:rFonts w:cs="Arial"/>
                <w:color w:val="000000"/>
                <w:szCs w:val="17"/>
              </w:rPr>
              <w:t>Informal feedback to the government on investment climate</w:t>
            </w:r>
          </w:p>
        </w:tc>
        <w:tc>
          <w:tcPr>
            <w:tcW w:w="737" w:type="dxa"/>
            <w:vAlign w:val="center"/>
          </w:tcPr>
          <w:p w14:paraId="0FAE445F" w14:textId="341CCAF5" w:rsidR="00686A9B" w:rsidRPr="00454399" w:rsidRDefault="00686A9B" w:rsidP="00686A9B">
            <w:pPr>
              <w:pStyle w:val="TableColumn"/>
            </w:pPr>
            <w:r>
              <w:rPr>
                <w:rFonts w:cs="Arial"/>
                <w:color w:val="000000"/>
                <w:szCs w:val="17"/>
              </w:rPr>
              <w:t>97%</w:t>
            </w:r>
          </w:p>
        </w:tc>
        <w:tc>
          <w:tcPr>
            <w:tcW w:w="737" w:type="dxa"/>
            <w:vAlign w:val="center"/>
          </w:tcPr>
          <w:p w14:paraId="79D8D277" w14:textId="35A4E42C"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0E0F2608" w14:textId="4A3AE7EB"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7632ABB0" w14:textId="3E8A7661"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10F17447" w14:textId="6458391D" w:rsidR="00686A9B" w:rsidRPr="00454399" w:rsidRDefault="00686A9B" w:rsidP="00686A9B">
            <w:pPr>
              <w:pStyle w:val="TableColumn"/>
            </w:pPr>
            <w:r>
              <w:rPr>
                <w:rFonts w:ascii="Wingdings" w:hAnsi="Wingdings" w:cs="Arial"/>
                <w:color w:val="000000"/>
                <w:sz w:val="18"/>
                <w:szCs w:val="18"/>
              </w:rPr>
              <w:t></w:t>
            </w:r>
          </w:p>
        </w:tc>
      </w:tr>
      <w:tr w:rsidR="00686A9B" w:rsidRPr="00454399" w14:paraId="0C4445D3"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vAlign w:val="center"/>
          </w:tcPr>
          <w:p w14:paraId="084EB9BD" w14:textId="741C91A2" w:rsidR="00686A9B" w:rsidRPr="00265D8C" w:rsidRDefault="00686A9B" w:rsidP="00686A9B">
            <w:pPr>
              <w:pStyle w:val="TableRow"/>
            </w:pPr>
            <w:r>
              <w:rPr>
                <w:rFonts w:cs="Arial"/>
                <w:color w:val="000000"/>
                <w:szCs w:val="17"/>
              </w:rPr>
              <w:t>Tracking of rankings (e.g., WEF, WB)</w:t>
            </w:r>
          </w:p>
        </w:tc>
        <w:tc>
          <w:tcPr>
            <w:tcW w:w="737" w:type="dxa"/>
            <w:vAlign w:val="center"/>
          </w:tcPr>
          <w:p w14:paraId="2A13FA56" w14:textId="6FC6F874" w:rsidR="00686A9B" w:rsidRPr="00454399" w:rsidRDefault="00686A9B" w:rsidP="00686A9B">
            <w:pPr>
              <w:pStyle w:val="TableColumn"/>
            </w:pPr>
            <w:r>
              <w:rPr>
                <w:rFonts w:cs="Arial"/>
                <w:color w:val="000000"/>
                <w:szCs w:val="17"/>
              </w:rPr>
              <w:t>94%</w:t>
            </w:r>
          </w:p>
        </w:tc>
        <w:tc>
          <w:tcPr>
            <w:tcW w:w="737" w:type="dxa"/>
            <w:vAlign w:val="center"/>
          </w:tcPr>
          <w:p w14:paraId="4F383DAF" w14:textId="284270D1"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3BA33AFD" w14:textId="40C267C4"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001AE2A4" w14:textId="72E58A0F"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2275622E" w14:textId="51BE481C" w:rsidR="00686A9B" w:rsidRPr="00454399" w:rsidRDefault="00686A9B" w:rsidP="00686A9B">
            <w:pPr>
              <w:pStyle w:val="TableColumn"/>
            </w:pPr>
            <w:r>
              <w:rPr>
                <w:rFonts w:ascii="Wingdings" w:hAnsi="Wingdings" w:cs="Arial"/>
                <w:color w:val="000000"/>
                <w:sz w:val="18"/>
                <w:szCs w:val="18"/>
              </w:rPr>
              <w:t></w:t>
            </w:r>
          </w:p>
        </w:tc>
      </w:tr>
      <w:tr w:rsidR="00686A9B" w:rsidRPr="00454399" w14:paraId="5E21C570"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3237599D" w14:textId="7A5192E2" w:rsidR="00686A9B" w:rsidRPr="00265D8C" w:rsidRDefault="00686A9B" w:rsidP="00686A9B">
            <w:pPr>
              <w:pStyle w:val="TableRow"/>
            </w:pPr>
            <w:r>
              <w:rPr>
                <w:rFonts w:cs="Arial"/>
                <w:color w:val="000000"/>
                <w:szCs w:val="17"/>
              </w:rPr>
              <w:t>Meetings with the prime minister</w:t>
            </w:r>
            <w:r w:rsidR="00002CA0">
              <w:rPr>
                <w:rFonts w:cs="Arial"/>
                <w:color w:val="000000"/>
                <w:szCs w:val="17"/>
              </w:rPr>
              <w:t xml:space="preserve"> </w:t>
            </w:r>
            <w:r>
              <w:rPr>
                <w:rFonts w:cs="Arial"/>
                <w:color w:val="000000"/>
                <w:szCs w:val="17"/>
              </w:rPr>
              <w:t>/</w:t>
            </w:r>
            <w:r w:rsidR="00002CA0">
              <w:rPr>
                <w:rFonts w:cs="Arial"/>
                <w:color w:val="000000"/>
                <w:szCs w:val="17"/>
              </w:rPr>
              <w:t xml:space="preserve"> </w:t>
            </w:r>
            <w:r>
              <w:rPr>
                <w:rFonts w:cs="Arial"/>
                <w:color w:val="000000"/>
                <w:szCs w:val="17"/>
              </w:rPr>
              <w:t>president</w:t>
            </w:r>
            <w:r w:rsidR="00002CA0">
              <w:rPr>
                <w:rFonts w:cs="Arial"/>
                <w:color w:val="000000"/>
                <w:szCs w:val="17"/>
              </w:rPr>
              <w:t xml:space="preserve"> </w:t>
            </w:r>
            <w:r>
              <w:rPr>
                <w:rFonts w:cs="Arial"/>
                <w:color w:val="000000"/>
                <w:szCs w:val="17"/>
              </w:rPr>
              <w:t>/</w:t>
            </w:r>
            <w:r w:rsidR="00002CA0">
              <w:rPr>
                <w:rFonts w:cs="Arial"/>
                <w:color w:val="000000"/>
                <w:szCs w:val="17"/>
              </w:rPr>
              <w:t xml:space="preserve"> </w:t>
            </w:r>
            <w:r>
              <w:rPr>
                <w:rFonts w:cs="Arial"/>
                <w:color w:val="000000"/>
                <w:szCs w:val="17"/>
              </w:rPr>
              <w:t>other agencies</w:t>
            </w:r>
          </w:p>
        </w:tc>
        <w:tc>
          <w:tcPr>
            <w:tcW w:w="737" w:type="dxa"/>
            <w:vAlign w:val="center"/>
          </w:tcPr>
          <w:p w14:paraId="7D611E0C" w14:textId="5F9BB4DB" w:rsidR="00686A9B" w:rsidRPr="00454399" w:rsidRDefault="00686A9B" w:rsidP="00686A9B">
            <w:pPr>
              <w:pStyle w:val="TableColumn"/>
            </w:pPr>
            <w:r>
              <w:rPr>
                <w:rFonts w:cs="Arial"/>
                <w:color w:val="000000"/>
                <w:szCs w:val="17"/>
              </w:rPr>
              <w:t>90%</w:t>
            </w:r>
          </w:p>
        </w:tc>
        <w:tc>
          <w:tcPr>
            <w:tcW w:w="737" w:type="dxa"/>
            <w:vAlign w:val="center"/>
          </w:tcPr>
          <w:p w14:paraId="1075AB16" w14:textId="159AF250" w:rsidR="00686A9B" w:rsidRPr="00454399" w:rsidRDefault="00686A9B" w:rsidP="00686A9B">
            <w:pPr>
              <w:pStyle w:val="TableColumn"/>
            </w:pPr>
            <w:r>
              <w:rPr>
                <w:rFonts w:ascii="Calibri" w:hAnsi="Calibri" w:cs="Calibri"/>
                <w:color w:val="000000"/>
                <w:szCs w:val="17"/>
              </w:rPr>
              <w:t> </w:t>
            </w:r>
          </w:p>
        </w:tc>
        <w:tc>
          <w:tcPr>
            <w:tcW w:w="737" w:type="dxa"/>
            <w:vAlign w:val="center"/>
          </w:tcPr>
          <w:p w14:paraId="0D3136AC" w14:textId="07CD6353"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340B297F" w14:textId="4D98E6BF" w:rsidR="00686A9B" w:rsidRPr="00454399" w:rsidRDefault="00686A9B" w:rsidP="00686A9B">
            <w:pPr>
              <w:pStyle w:val="TableColumn"/>
            </w:pPr>
            <w:r>
              <w:rPr>
                <w:rFonts w:ascii="Calibri" w:hAnsi="Calibri" w:cs="Calibri"/>
                <w:color w:val="000000"/>
                <w:szCs w:val="17"/>
              </w:rPr>
              <w:t> </w:t>
            </w:r>
          </w:p>
        </w:tc>
        <w:tc>
          <w:tcPr>
            <w:tcW w:w="737" w:type="dxa"/>
            <w:vAlign w:val="center"/>
          </w:tcPr>
          <w:p w14:paraId="2B43ABC7" w14:textId="0AC6046F" w:rsidR="00686A9B" w:rsidRPr="00454399" w:rsidRDefault="00686A9B" w:rsidP="00686A9B">
            <w:pPr>
              <w:pStyle w:val="TableColumn"/>
            </w:pPr>
            <w:r>
              <w:rPr>
                <w:rFonts w:ascii="Wingdings" w:hAnsi="Wingdings" w:cs="Arial"/>
                <w:color w:val="000000"/>
                <w:sz w:val="18"/>
                <w:szCs w:val="18"/>
              </w:rPr>
              <w:t></w:t>
            </w:r>
          </w:p>
        </w:tc>
      </w:tr>
      <w:tr w:rsidR="00686A9B" w:rsidRPr="00454399" w14:paraId="68AC72D3"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vAlign w:val="center"/>
          </w:tcPr>
          <w:p w14:paraId="50A032DA" w14:textId="7359FE12" w:rsidR="00686A9B" w:rsidRPr="00265D8C" w:rsidRDefault="00686A9B" w:rsidP="00686A9B">
            <w:pPr>
              <w:pStyle w:val="TableRow"/>
            </w:pPr>
            <w:r>
              <w:rPr>
                <w:rFonts w:cs="Arial"/>
                <w:color w:val="000000"/>
                <w:szCs w:val="17"/>
              </w:rPr>
              <w:t xml:space="preserve">Participation in a taskforce on investment climate reforms </w:t>
            </w:r>
          </w:p>
        </w:tc>
        <w:tc>
          <w:tcPr>
            <w:tcW w:w="737" w:type="dxa"/>
            <w:vAlign w:val="center"/>
          </w:tcPr>
          <w:p w14:paraId="46739673" w14:textId="475DAF72" w:rsidR="00686A9B" w:rsidRPr="00454399" w:rsidRDefault="00686A9B" w:rsidP="00686A9B">
            <w:pPr>
              <w:pStyle w:val="TableColumn"/>
            </w:pPr>
            <w:r>
              <w:rPr>
                <w:rFonts w:cs="Arial"/>
                <w:color w:val="000000"/>
                <w:szCs w:val="17"/>
              </w:rPr>
              <w:t>90%</w:t>
            </w:r>
          </w:p>
        </w:tc>
        <w:tc>
          <w:tcPr>
            <w:tcW w:w="737" w:type="dxa"/>
            <w:vAlign w:val="center"/>
          </w:tcPr>
          <w:p w14:paraId="2CCBB4E1" w14:textId="28743D55"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1DE6F3DB" w14:textId="0E61B1EF"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4025E36A" w14:textId="54F3DF50"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08921E98" w14:textId="2ACAD076" w:rsidR="00686A9B" w:rsidRPr="00454399" w:rsidRDefault="00686A9B" w:rsidP="00686A9B">
            <w:pPr>
              <w:pStyle w:val="TableColumn"/>
            </w:pPr>
            <w:r>
              <w:rPr>
                <w:rFonts w:ascii="Wingdings" w:hAnsi="Wingdings" w:cs="Arial"/>
                <w:color w:val="000000"/>
                <w:sz w:val="18"/>
                <w:szCs w:val="18"/>
              </w:rPr>
              <w:t></w:t>
            </w:r>
          </w:p>
        </w:tc>
      </w:tr>
      <w:tr w:rsidR="00686A9B" w:rsidRPr="00454399" w14:paraId="024032FF"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734232CF" w14:textId="6C7AD8B3" w:rsidR="00686A9B" w:rsidRPr="00265D8C" w:rsidRDefault="00686A9B" w:rsidP="00686A9B">
            <w:pPr>
              <w:pStyle w:val="TableRow"/>
            </w:pPr>
            <w:r>
              <w:rPr>
                <w:rFonts w:cs="Arial"/>
                <w:color w:val="000000"/>
                <w:szCs w:val="17"/>
              </w:rPr>
              <w:t>Production of reports or position papers</w:t>
            </w:r>
          </w:p>
        </w:tc>
        <w:tc>
          <w:tcPr>
            <w:tcW w:w="737" w:type="dxa"/>
            <w:vAlign w:val="center"/>
          </w:tcPr>
          <w:p w14:paraId="4DA42549" w14:textId="66C553DF" w:rsidR="00686A9B" w:rsidRPr="00454399" w:rsidRDefault="00686A9B" w:rsidP="00686A9B">
            <w:pPr>
              <w:pStyle w:val="TableColumn"/>
            </w:pPr>
            <w:r>
              <w:rPr>
                <w:rFonts w:cs="Arial"/>
                <w:color w:val="000000"/>
                <w:szCs w:val="17"/>
              </w:rPr>
              <w:t>87%</w:t>
            </w:r>
          </w:p>
        </w:tc>
        <w:tc>
          <w:tcPr>
            <w:tcW w:w="737" w:type="dxa"/>
            <w:vAlign w:val="center"/>
          </w:tcPr>
          <w:p w14:paraId="2D37458D" w14:textId="29AD494D"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3C73F882" w14:textId="77E1E849" w:rsidR="00686A9B" w:rsidRPr="00454399" w:rsidRDefault="00686A9B" w:rsidP="00686A9B">
            <w:pPr>
              <w:pStyle w:val="TableColumn"/>
            </w:pPr>
            <w:r>
              <w:rPr>
                <w:rFonts w:ascii="Calibri" w:hAnsi="Calibri" w:cs="Calibri"/>
                <w:color w:val="000000"/>
                <w:szCs w:val="17"/>
              </w:rPr>
              <w:t> </w:t>
            </w:r>
          </w:p>
        </w:tc>
        <w:tc>
          <w:tcPr>
            <w:tcW w:w="737" w:type="dxa"/>
            <w:vAlign w:val="center"/>
          </w:tcPr>
          <w:p w14:paraId="4811553D" w14:textId="30992624" w:rsidR="00686A9B" w:rsidRPr="00454399" w:rsidRDefault="00686A9B" w:rsidP="00686A9B">
            <w:pPr>
              <w:pStyle w:val="TableColumn"/>
            </w:pPr>
            <w:r>
              <w:rPr>
                <w:rFonts w:ascii="Calibri" w:hAnsi="Calibri" w:cs="Calibri"/>
                <w:color w:val="000000"/>
                <w:szCs w:val="17"/>
              </w:rPr>
              <w:t> </w:t>
            </w:r>
          </w:p>
        </w:tc>
        <w:tc>
          <w:tcPr>
            <w:tcW w:w="737" w:type="dxa"/>
            <w:vAlign w:val="center"/>
          </w:tcPr>
          <w:p w14:paraId="5BFFDFF9" w14:textId="7E590306" w:rsidR="00686A9B" w:rsidRPr="00454399" w:rsidRDefault="00686A9B" w:rsidP="00686A9B">
            <w:pPr>
              <w:pStyle w:val="TableColumn"/>
            </w:pPr>
            <w:r>
              <w:rPr>
                <w:rFonts w:ascii="Wingdings" w:hAnsi="Wingdings" w:cs="Arial"/>
                <w:color w:val="000000"/>
                <w:sz w:val="18"/>
                <w:szCs w:val="18"/>
              </w:rPr>
              <w:t></w:t>
            </w:r>
          </w:p>
        </w:tc>
      </w:tr>
      <w:tr w:rsidR="00686A9B" w:rsidRPr="00454399" w14:paraId="19876016"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vAlign w:val="center"/>
          </w:tcPr>
          <w:p w14:paraId="73F10473" w14:textId="264F96F8" w:rsidR="00686A9B" w:rsidRPr="00265D8C" w:rsidRDefault="00686A9B" w:rsidP="00686A9B">
            <w:pPr>
              <w:pStyle w:val="TableRow"/>
            </w:pPr>
            <w:r>
              <w:rPr>
                <w:rFonts w:cs="Arial"/>
                <w:color w:val="000000"/>
                <w:szCs w:val="17"/>
              </w:rPr>
              <w:t>Consultation with foreign offices, embassies, consulates</w:t>
            </w:r>
          </w:p>
        </w:tc>
        <w:tc>
          <w:tcPr>
            <w:tcW w:w="737" w:type="dxa"/>
            <w:vAlign w:val="center"/>
          </w:tcPr>
          <w:p w14:paraId="0044A93E" w14:textId="27B82EA1" w:rsidR="00686A9B" w:rsidRPr="00454399" w:rsidRDefault="00686A9B" w:rsidP="00686A9B">
            <w:pPr>
              <w:pStyle w:val="TableColumn"/>
            </w:pPr>
            <w:r>
              <w:rPr>
                <w:rFonts w:cs="Arial"/>
                <w:color w:val="000000"/>
                <w:szCs w:val="17"/>
              </w:rPr>
              <w:t>84%</w:t>
            </w:r>
          </w:p>
        </w:tc>
        <w:tc>
          <w:tcPr>
            <w:tcW w:w="737" w:type="dxa"/>
            <w:vAlign w:val="center"/>
          </w:tcPr>
          <w:p w14:paraId="651D647F" w14:textId="6DA9D58B"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33A54616" w14:textId="27721DA6"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667E9C12" w14:textId="5FE82F5C"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223655D4" w14:textId="35C162CA" w:rsidR="00686A9B" w:rsidRPr="00454399" w:rsidRDefault="00686A9B" w:rsidP="00686A9B">
            <w:pPr>
              <w:pStyle w:val="TableColumn"/>
            </w:pPr>
            <w:r>
              <w:rPr>
                <w:rFonts w:ascii="Wingdings" w:hAnsi="Wingdings" w:cs="Arial"/>
                <w:color w:val="000000"/>
                <w:sz w:val="18"/>
                <w:szCs w:val="18"/>
              </w:rPr>
              <w:t></w:t>
            </w:r>
          </w:p>
        </w:tc>
      </w:tr>
      <w:tr w:rsidR="00686A9B" w:rsidRPr="00454399" w14:paraId="6A35B968"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214DB6A4" w14:textId="7938E97D" w:rsidR="00686A9B" w:rsidRPr="00265D8C" w:rsidRDefault="00686A9B" w:rsidP="00686A9B">
            <w:pPr>
              <w:pStyle w:val="TableRow"/>
            </w:pPr>
            <w:r>
              <w:rPr>
                <w:rFonts w:cs="Arial"/>
                <w:color w:val="000000"/>
                <w:szCs w:val="17"/>
              </w:rPr>
              <w:t>Public awareness campaigns or events</w:t>
            </w:r>
          </w:p>
        </w:tc>
        <w:tc>
          <w:tcPr>
            <w:tcW w:w="737" w:type="dxa"/>
            <w:vAlign w:val="center"/>
          </w:tcPr>
          <w:p w14:paraId="3D6467E7" w14:textId="30E27E3C" w:rsidR="00686A9B" w:rsidRPr="00454399" w:rsidRDefault="00686A9B" w:rsidP="00686A9B">
            <w:pPr>
              <w:pStyle w:val="TableColumn"/>
            </w:pPr>
            <w:r>
              <w:rPr>
                <w:rFonts w:cs="Arial"/>
                <w:color w:val="000000"/>
                <w:szCs w:val="17"/>
              </w:rPr>
              <w:t>74%</w:t>
            </w:r>
          </w:p>
        </w:tc>
        <w:tc>
          <w:tcPr>
            <w:tcW w:w="737" w:type="dxa"/>
            <w:vAlign w:val="center"/>
          </w:tcPr>
          <w:p w14:paraId="4FF2D6D8" w14:textId="47610FD9"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3228F2B6" w14:textId="1BEBB901"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67F40C94" w14:textId="51162705" w:rsidR="00686A9B" w:rsidRPr="00454399" w:rsidRDefault="00686A9B" w:rsidP="00686A9B">
            <w:pPr>
              <w:pStyle w:val="TableColumn"/>
            </w:pPr>
            <w:r>
              <w:rPr>
                <w:rFonts w:cs="Arial"/>
                <w:color w:val="000000"/>
                <w:szCs w:val="17"/>
              </w:rPr>
              <w:t> </w:t>
            </w:r>
          </w:p>
        </w:tc>
        <w:tc>
          <w:tcPr>
            <w:tcW w:w="737" w:type="dxa"/>
            <w:vAlign w:val="center"/>
          </w:tcPr>
          <w:p w14:paraId="18936927" w14:textId="1201F273" w:rsidR="00686A9B" w:rsidRPr="00454399" w:rsidRDefault="00686A9B" w:rsidP="00686A9B">
            <w:pPr>
              <w:pStyle w:val="TableColumn"/>
            </w:pPr>
            <w:r>
              <w:rPr>
                <w:rFonts w:ascii="Wingdings" w:hAnsi="Wingdings" w:cs="Arial"/>
                <w:color w:val="000000"/>
                <w:sz w:val="18"/>
                <w:szCs w:val="18"/>
              </w:rPr>
              <w:t></w:t>
            </w:r>
          </w:p>
        </w:tc>
      </w:tr>
      <w:tr w:rsidR="00686A9B" w:rsidRPr="00454399" w14:paraId="2F849DF2"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vAlign w:val="center"/>
          </w:tcPr>
          <w:p w14:paraId="2A16CC7C" w14:textId="0653F34A" w:rsidR="00686A9B" w:rsidRPr="00265D8C" w:rsidRDefault="00686A9B" w:rsidP="00686A9B">
            <w:pPr>
              <w:pStyle w:val="TableRow"/>
            </w:pPr>
            <w:r>
              <w:rPr>
                <w:rFonts w:cs="Arial"/>
                <w:color w:val="000000"/>
                <w:szCs w:val="17"/>
              </w:rPr>
              <w:t>Surveys of foreign investors</w:t>
            </w:r>
          </w:p>
        </w:tc>
        <w:tc>
          <w:tcPr>
            <w:tcW w:w="737" w:type="dxa"/>
            <w:vAlign w:val="center"/>
          </w:tcPr>
          <w:p w14:paraId="47AF74A2" w14:textId="3CA6AA17" w:rsidR="00686A9B" w:rsidRPr="00454399" w:rsidRDefault="00686A9B" w:rsidP="00686A9B">
            <w:pPr>
              <w:pStyle w:val="TableColumn"/>
            </w:pPr>
            <w:r>
              <w:rPr>
                <w:rFonts w:cs="Arial"/>
                <w:color w:val="000000"/>
                <w:szCs w:val="17"/>
              </w:rPr>
              <w:t>65%</w:t>
            </w:r>
          </w:p>
        </w:tc>
        <w:tc>
          <w:tcPr>
            <w:tcW w:w="737" w:type="dxa"/>
            <w:vAlign w:val="center"/>
          </w:tcPr>
          <w:p w14:paraId="311A3E8C" w14:textId="5C072170"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56DE5694" w14:textId="00D5397A" w:rsidR="00686A9B" w:rsidRPr="00454399" w:rsidRDefault="00686A9B" w:rsidP="00686A9B">
            <w:pPr>
              <w:pStyle w:val="TableColumn"/>
            </w:pPr>
            <w:r>
              <w:rPr>
                <w:rFonts w:cs="Arial"/>
                <w:color w:val="000000"/>
                <w:szCs w:val="17"/>
              </w:rPr>
              <w:t> </w:t>
            </w:r>
          </w:p>
        </w:tc>
        <w:tc>
          <w:tcPr>
            <w:tcW w:w="737" w:type="dxa"/>
            <w:vAlign w:val="center"/>
          </w:tcPr>
          <w:p w14:paraId="2AAC3DD0" w14:textId="255EB41E" w:rsidR="00686A9B" w:rsidRPr="00454399" w:rsidRDefault="00686A9B" w:rsidP="00686A9B">
            <w:pPr>
              <w:pStyle w:val="TableColumn"/>
            </w:pPr>
            <w:r>
              <w:rPr>
                <w:rFonts w:cs="Arial"/>
                <w:color w:val="000000"/>
                <w:szCs w:val="17"/>
              </w:rPr>
              <w:t> </w:t>
            </w:r>
          </w:p>
        </w:tc>
        <w:tc>
          <w:tcPr>
            <w:tcW w:w="737" w:type="dxa"/>
            <w:vAlign w:val="center"/>
          </w:tcPr>
          <w:p w14:paraId="2CCC2A6F" w14:textId="0CD8F90B" w:rsidR="00686A9B" w:rsidRPr="00454399" w:rsidRDefault="00686A9B" w:rsidP="00686A9B">
            <w:pPr>
              <w:pStyle w:val="TableColumn"/>
            </w:pPr>
            <w:r>
              <w:rPr>
                <w:rFonts w:cs="Arial"/>
                <w:color w:val="000000"/>
                <w:szCs w:val="17"/>
              </w:rPr>
              <w:t> </w:t>
            </w:r>
          </w:p>
        </w:tc>
      </w:tr>
      <w:tr w:rsidR="00686A9B" w:rsidRPr="00454399" w14:paraId="712E47EA"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0DAC1A8B" w14:textId="2122C272" w:rsidR="00686A9B" w:rsidRPr="00265D8C" w:rsidRDefault="00686A9B" w:rsidP="00686A9B">
            <w:pPr>
              <w:pStyle w:val="TableRow"/>
            </w:pPr>
            <w:r>
              <w:rPr>
                <w:rFonts w:cs="Arial"/>
                <w:color w:val="000000"/>
                <w:szCs w:val="17"/>
              </w:rPr>
              <w:t>Inputs on Regulatory Impact Assessment</w:t>
            </w:r>
          </w:p>
        </w:tc>
        <w:tc>
          <w:tcPr>
            <w:tcW w:w="737" w:type="dxa"/>
            <w:vAlign w:val="center"/>
          </w:tcPr>
          <w:p w14:paraId="1E8300DE" w14:textId="4EBE9946" w:rsidR="00686A9B" w:rsidRPr="00454399" w:rsidRDefault="00686A9B" w:rsidP="00686A9B">
            <w:pPr>
              <w:pStyle w:val="TableColumn"/>
            </w:pPr>
            <w:r>
              <w:rPr>
                <w:rFonts w:cs="Arial"/>
                <w:color w:val="000000"/>
                <w:szCs w:val="17"/>
              </w:rPr>
              <w:t>42%</w:t>
            </w:r>
          </w:p>
        </w:tc>
        <w:tc>
          <w:tcPr>
            <w:tcW w:w="737" w:type="dxa"/>
            <w:vAlign w:val="center"/>
          </w:tcPr>
          <w:p w14:paraId="22C50B3C" w14:textId="196D77E2"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7C4CB451" w14:textId="74BA6E70" w:rsidR="00686A9B" w:rsidRPr="00454399" w:rsidRDefault="00686A9B" w:rsidP="00686A9B">
            <w:pPr>
              <w:pStyle w:val="TableColumn"/>
            </w:pPr>
            <w:r>
              <w:rPr>
                <w:rFonts w:cs="Arial"/>
                <w:color w:val="000000"/>
                <w:szCs w:val="17"/>
              </w:rPr>
              <w:t> </w:t>
            </w:r>
          </w:p>
        </w:tc>
        <w:tc>
          <w:tcPr>
            <w:tcW w:w="737" w:type="dxa"/>
            <w:vAlign w:val="center"/>
          </w:tcPr>
          <w:p w14:paraId="25AE781F" w14:textId="39FB2D0F" w:rsidR="00686A9B" w:rsidRPr="00454399" w:rsidRDefault="00686A9B" w:rsidP="00686A9B">
            <w:pPr>
              <w:pStyle w:val="TableColumn"/>
            </w:pPr>
            <w:r>
              <w:rPr>
                <w:rFonts w:cs="Arial"/>
                <w:color w:val="000000"/>
                <w:szCs w:val="17"/>
              </w:rPr>
              <w:t> </w:t>
            </w:r>
          </w:p>
        </w:tc>
        <w:tc>
          <w:tcPr>
            <w:tcW w:w="737" w:type="dxa"/>
            <w:vAlign w:val="center"/>
          </w:tcPr>
          <w:p w14:paraId="3142F7EF" w14:textId="3809A36D" w:rsidR="00686A9B" w:rsidRPr="00454399" w:rsidRDefault="00686A9B" w:rsidP="00686A9B">
            <w:pPr>
              <w:pStyle w:val="TableColumn"/>
            </w:pPr>
            <w:r>
              <w:rPr>
                <w:rFonts w:ascii="Wingdings" w:hAnsi="Wingdings" w:cs="Arial"/>
                <w:color w:val="000000"/>
                <w:sz w:val="18"/>
                <w:szCs w:val="18"/>
              </w:rPr>
              <w:t></w:t>
            </w:r>
          </w:p>
        </w:tc>
      </w:tr>
      <w:tr w:rsidR="00686A9B" w:rsidRPr="00454399" w14:paraId="527B7CAD" w14:textId="77777777" w:rsidTr="00A40FB3">
        <w:trPr>
          <w:cnfStyle w:val="000000100000" w:firstRow="0" w:lastRow="0" w:firstColumn="0" w:lastColumn="0" w:oddVBand="0" w:evenVBand="0" w:oddHBand="1" w:evenHBand="0" w:firstRowFirstColumn="0" w:firstRowLastColumn="0" w:lastRowFirstColumn="0" w:lastRowLastColumn="0"/>
        </w:trPr>
        <w:tc>
          <w:tcPr>
            <w:tcW w:w="4253" w:type="dxa"/>
            <w:vAlign w:val="center"/>
          </w:tcPr>
          <w:p w14:paraId="1789CFC6" w14:textId="0046CEA5" w:rsidR="00686A9B" w:rsidRPr="00265D8C" w:rsidRDefault="00686A9B" w:rsidP="00686A9B">
            <w:pPr>
              <w:pStyle w:val="TableRow"/>
            </w:pPr>
            <w:r>
              <w:rPr>
                <w:rFonts w:cs="Arial"/>
                <w:color w:val="000000"/>
                <w:szCs w:val="17"/>
              </w:rPr>
              <w:t>Surveys of domestic firms investing at home/abroad</w:t>
            </w:r>
          </w:p>
        </w:tc>
        <w:tc>
          <w:tcPr>
            <w:tcW w:w="737" w:type="dxa"/>
            <w:vAlign w:val="center"/>
          </w:tcPr>
          <w:p w14:paraId="1CF4AAD6" w14:textId="3454FFC5" w:rsidR="00686A9B" w:rsidRPr="00454399" w:rsidRDefault="00686A9B" w:rsidP="00686A9B">
            <w:pPr>
              <w:pStyle w:val="TableColumn"/>
            </w:pPr>
            <w:r>
              <w:rPr>
                <w:rFonts w:cs="Arial"/>
                <w:color w:val="000000"/>
                <w:szCs w:val="17"/>
              </w:rPr>
              <w:t>35%</w:t>
            </w:r>
          </w:p>
        </w:tc>
        <w:tc>
          <w:tcPr>
            <w:tcW w:w="737" w:type="dxa"/>
            <w:vAlign w:val="center"/>
          </w:tcPr>
          <w:p w14:paraId="714A874A" w14:textId="5CA2958E"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533520E3" w14:textId="76AC5A48" w:rsidR="00686A9B" w:rsidRPr="00454399" w:rsidRDefault="00686A9B" w:rsidP="00686A9B">
            <w:pPr>
              <w:pStyle w:val="TableColumn"/>
            </w:pPr>
            <w:r>
              <w:rPr>
                <w:rFonts w:cs="Arial"/>
                <w:color w:val="000000"/>
                <w:szCs w:val="17"/>
              </w:rPr>
              <w:t> </w:t>
            </w:r>
          </w:p>
        </w:tc>
        <w:tc>
          <w:tcPr>
            <w:tcW w:w="737" w:type="dxa"/>
            <w:vAlign w:val="center"/>
          </w:tcPr>
          <w:p w14:paraId="383B79CF" w14:textId="0D939AC2" w:rsidR="00686A9B" w:rsidRPr="00454399" w:rsidRDefault="00686A9B" w:rsidP="00686A9B">
            <w:pPr>
              <w:pStyle w:val="TableColumn"/>
            </w:pPr>
            <w:r>
              <w:rPr>
                <w:rFonts w:cs="Arial"/>
                <w:color w:val="000000"/>
                <w:szCs w:val="17"/>
              </w:rPr>
              <w:t> </w:t>
            </w:r>
          </w:p>
        </w:tc>
        <w:tc>
          <w:tcPr>
            <w:tcW w:w="737" w:type="dxa"/>
            <w:vAlign w:val="center"/>
          </w:tcPr>
          <w:p w14:paraId="5CBCCFC4" w14:textId="336006C1" w:rsidR="00686A9B" w:rsidRPr="00454399" w:rsidRDefault="00686A9B" w:rsidP="00686A9B">
            <w:pPr>
              <w:pStyle w:val="TableColumn"/>
            </w:pPr>
            <w:r>
              <w:rPr>
                <w:rFonts w:cs="Arial"/>
                <w:color w:val="000000"/>
                <w:szCs w:val="17"/>
              </w:rPr>
              <w:t> </w:t>
            </w:r>
          </w:p>
        </w:tc>
      </w:tr>
      <w:tr w:rsidR="00686A9B" w:rsidRPr="00454399" w14:paraId="50B9A61F" w14:textId="77777777" w:rsidTr="00A40FB3">
        <w:trPr>
          <w:cnfStyle w:val="000000010000" w:firstRow="0" w:lastRow="0" w:firstColumn="0" w:lastColumn="0" w:oddVBand="0" w:evenVBand="0" w:oddHBand="0" w:evenHBand="1" w:firstRowFirstColumn="0" w:firstRowLastColumn="0" w:lastRowFirstColumn="0" w:lastRowLastColumn="0"/>
        </w:trPr>
        <w:tc>
          <w:tcPr>
            <w:tcW w:w="4253" w:type="dxa"/>
            <w:vAlign w:val="center"/>
          </w:tcPr>
          <w:p w14:paraId="3D707527" w14:textId="2F3DE241" w:rsidR="00686A9B" w:rsidRPr="00265D8C" w:rsidRDefault="00686A9B" w:rsidP="00686A9B">
            <w:pPr>
              <w:pStyle w:val="TableRow"/>
            </w:pPr>
            <w:r>
              <w:rPr>
                <w:rFonts w:cs="Arial"/>
                <w:color w:val="000000"/>
                <w:szCs w:val="17"/>
              </w:rPr>
              <w:t>Surveys of expats</w:t>
            </w:r>
          </w:p>
        </w:tc>
        <w:tc>
          <w:tcPr>
            <w:tcW w:w="737" w:type="dxa"/>
            <w:vAlign w:val="center"/>
          </w:tcPr>
          <w:p w14:paraId="1E4B242C" w14:textId="2F2283DC" w:rsidR="00686A9B" w:rsidRPr="00454399" w:rsidRDefault="00686A9B" w:rsidP="00686A9B">
            <w:pPr>
              <w:pStyle w:val="TableColumn"/>
            </w:pPr>
            <w:r>
              <w:rPr>
                <w:rFonts w:cs="Arial"/>
                <w:color w:val="000000"/>
                <w:szCs w:val="17"/>
              </w:rPr>
              <w:t>19%</w:t>
            </w:r>
          </w:p>
        </w:tc>
        <w:tc>
          <w:tcPr>
            <w:tcW w:w="737" w:type="dxa"/>
            <w:vAlign w:val="center"/>
          </w:tcPr>
          <w:p w14:paraId="43B77F01" w14:textId="023A4BCA" w:rsidR="00686A9B" w:rsidRPr="00454399" w:rsidRDefault="00686A9B" w:rsidP="00686A9B">
            <w:pPr>
              <w:pStyle w:val="TableColumn"/>
            </w:pPr>
            <w:r>
              <w:rPr>
                <w:rFonts w:ascii="Wingdings" w:hAnsi="Wingdings" w:cs="Arial"/>
                <w:color w:val="000000"/>
                <w:sz w:val="18"/>
                <w:szCs w:val="18"/>
              </w:rPr>
              <w:t></w:t>
            </w:r>
          </w:p>
        </w:tc>
        <w:tc>
          <w:tcPr>
            <w:tcW w:w="737" w:type="dxa"/>
            <w:vAlign w:val="center"/>
          </w:tcPr>
          <w:p w14:paraId="71902D17" w14:textId="1B0DE9F5" w:rsidR="00686A9B" w:rsidRPr="00454399" w:rsidRDefault="00686A9B" w:rsidP="00686A9B">
            <w:pPr>
              <w:pStyle w:val="TableColumn"/>
            </w:pPr>
            <w:r>
              <w:rPr>
                <w:rFonts w:cs="Arial"/>
                <w:color w:val="000000"/>
                <w:szCs w:val="17"/>
              </w:rPr>
              <w:t> </w:t>
            </w:r>
          </w:p>
        </w:tc>
        <w:tc>
          <w:tcPr>
            <w:tcW w:w="737" w:type="dxa"/>
            <w:vAlign w:val="center"/>
          </w:tcPr>
          <w:p w14:paraId="431EC27E" w14:textId="2E6334F7" w:rsidR="00686A9B" w:rsidRPr="00454399" w:rsidRDefault="00686A9B" w:rsidP="00686A9B">
            <w:pPr>
              <w:pStyle w:val="TableColumn"/>
            </w:pPr>
            <w:r>
              <w:rPr>
                <w:rFonts w:cs="Arial"/>
                <w:color w:val="000000"/>
                <w:szCs w:val="17"/>
              </w:rPr>
              <w:t> </w:t>
            </w:r>
          </w:p>
        </w:tc>
        <w:tc>
          <w:tcPr>
            <w:tcW w:w="737" w:type="dxa"/>
            <w:vAlign w:val="center"/>
          </w:tcPr>
          <w:p w14:paraId="0E182E6C" w14:textId="56E02086" w:rsidR="00686A9B" w:rsidRPr="00454399" w:rsidRDefault="00686A9B" w:rsidP="00686A9B">
            <w:pPr>
              <w:pStyle w:val="TableColumn"/>
            </w:pPr>
            <w:r>
              <w:rPr>
                <w:rFonts w:cs="Arial"/>
                <w:color w:val="000000"/>
                <w:szCs w:val="17"/>
              </w:rPr>
              <w:t> </w:t>
            </w:r>
          </w:p>
        </w:tc>
      </w:tr>
    </w:tbl>
    <w:p w14:paraId="25EDFC2D" w14:textId="6C7F1B36" w:rsidR="000C5C88" w:rsidRPr="00454399" w:rsidRDefault="00496306" w:rsidP="00496306">
      <w:pPr>
        <w:pStyle w:val="Sourcenotes"/>
      </w:pPr>
      <w:r w:rsidRPr="00454399">
        <w:rPr>
          <w:i/>
        </w:rPr>
        <w:t>Source</w:t>
      </w:r>
      <w:r>
        <w:t xml:space="preserve">: OECD-IDB </w:t>
      </w:r>
      <w:r w:rsidRPr="00754E52">
        <w:t>IPA survey of Investment Promotion Agencies (2019</w:t>
      </w:r>
      <w:r>
        <w:t>)</w:t>
      </w:r>
      <w:r w:rsidR="000C5C88">
        <w:t>.</w:t>
      </w:r>
    </w:p>
    <w:p w14:paraId="08E7AE23" w14:textId="01C02332" w:rsidR="00E21076" w:rsidRDefault="00E21076" w:rsidP="0058315B">
      <w:pPr>
        <w:pStyle w:val="Sourcenotes"/>
        <w:sectPr w:rsidR="00E21076" w:rsidSect="00DA12AF">
          <w:headerReference w:type="even" r:id="rId36"/>
          <w:headerReference w:type="default" r:id="rId37"/>
          <w:footerReference w:type="even" r:id="rId38"/>
          <w:footerReference w:type="default" r:id="rId39"/>
          <w:endnotePr>
            <w:numFmt w:val="decimal"/>
            <w:numRestart w:val="eachSect"/>
          </w:endnotePr>
          <w:type w:val="continuous"/>
          <w:pgSz w:w="11906" w:h="16838" w:code="9"/>
          <w:pgMar w:top="2098" w:right="1304" w:bottom="1928" w:left="1304" w:header="1531" w:footer="1134" w:gutter="0"/>
          <w:cols w:space="708"/>
          <w:docGrid w:linePitch="360"/>
        </w:sectPr>
      </w:pPr>
    </w:p>
    <w:p w14:paraId="4E657765" w14:textId="2388DC78" w:rsidR="00AF22BE" w:rsidRDefault="001F34E8" w:rsidP="00AF22BE">
      <w:pPr>
        <w:pStyle w:val="Heading9"/>
      </w:pPr>
      <w:bookmarkStart w:id="92" w:name="_Toc31228353"/>
      <w:bookmarkStart w:id="93" w:name="_Toc31983287"/>
      <w:bookmarkStart w:id="94" w:name="_Toc33443298"/>
      <w:r>
        <w:lastRenderedPageBreak/>
        <w:t>Comparative overview of investment strategies</w:t>
      </w:r>
      <w:bookmarkEnd w:id="92"/>
      <w:bookmarkEnd w:id="93"/>
      <w:bookmarkEnd w:id="94"/>
    </w:p>
    <w:p w14:paraId="4C02015E" w14:textId="6172B234" w:rsidR="001F34E8" w:rsidRDefault="001F34E8" w:rsidP="006B2A75">
      <w:pPr>
        <w:pStyle w:val="Caption"/>
      </w:pPr>
      <w:bookmarkStart w:id="95" w:name="_Toc31983258"/>
      <w:bookmarkStart w:id="96" w:name="_Toc33443323"/>
      <w:r>
        <w:t xml:space="preserve">Annex Table </w:t>
      </w:r>
      <w:fldSimple w:instr=" STYLEREF 9 \s ">
        <w:r w:rsidR="00DC4D16">
          <w:rPr>
            <w:noProof/>
          </w:rPr>
          <w:t>3.A</w:t>
        </w:r>
      </w:fldSimple>
      <w:r>
        <w:t>.</w:t>
      </w:r>
      <w:r>
        <w:rPr>
          <w:noProof/>
        </w:rPr>
        <w:fldChar w:fldCharType="begin"/>
      </w:r>
      <w:r>
        <w:rPr>
          <w:noProof/>
        </w:rPr>
        <w:instrText xml:space="preserve"> SEQ Annex_Table \* ARABIC \s 9 </w:instrText>
      </w:r>
      <w:r>
        <w:rPr>
          <w:noProof/>
        </w:rPr>
        <w:fldChar w:fldCharType="separate"/>
      </w:r>
      <w:r w:rsidR="00AA4B3C">
        <w:rPr>
          <w:noProof/>
        </w:rPr>
        <w:t>1</w:t>
      </w:r>
      <w:r>
        <w:rPr>
          <w:noProof/>
        </w:rPr>
        <w:fldChar w:fldCharType="end"/>
      </w:r>
      <w:r>
        <w:t xml:space="preserve">. </w:t>
      </w:r>
      <w:r w:rsidRPr="00C905E9">
        <w:t>Typology of investment strategies</w:t>
      </w:r>
      <w:bookmarkEnd w:id="95"/>
      <w:bookmarkEnd w:id="96"/>
    </w:p>
    <w:tbl>
      <w:tblPr>
        <w:tblStyle w:val="OECD"/>
        <w:tblW w:w="13183" w:type="dxa"/>
        <w:tblLook w:val="0420" w:firstRow="1" w:lastRow="0" w:firstColumn="0" w:lastColumn="0" w:noHBand="0" w:noVBand="1"/>
      </w:tblPr>
      <w:tblGrid>
        <w:gridCol w:w="1440"/>
        <w:gridCol w:w="1162"/>
        <w:gridCol w:w="3210"/>
        <w:gridCol w:w="1701"/>
        <w:gridCol w:w="3855"/>
        <w:gridCol w:w="1815"/>
      </w:tblGrid>
      <w:tr w:rsidR="007B5568" w:rsidRPr="00454399" w14:paraId="5EEC74E4" w14:textId="77777777" w:rsidTr="00837513">
        <w:trPr>
          <w:cnfStyle w:val="100000000000" w:firstRow="1" w:lastRow="0" w:firstColumn="0" w:lastColumn="0" w:oddVBand="0" w:evenVBand="0" w:oddHBand="0" w:evenHBand="0" w:firstRowFirstColumn="0" w:firstRowLastColumn="0" w:lastRowFirstColumn="0" w:lastRowLastColumn="0"/>
        </w:trPr>
        <w:tc>
          <w:tcPr>
            <w:tcW w:w="1440" w:type="dxa"/>
            <w:tcBorders>
              <w:bottom w:val="single" w:sz="4" w:space="0" w:color="auto"/>
            </w:tcBorders>
          </w:tcPr>
          <w:p w14:paraId="30257CA1" w14:textId="4B18C9C5" w:rsidR="00B869F0" w:rsidRPr="007B5568" w:rsidRDefault="00B869F0" w:rsidP="006B2A75">
            <w:pPr>
              <w:pStyle w:val="TableColumn"/>
              <w:rPr>
                <w:b/>
                <w:bCs w:val="0"/>
              </w:rPr>
            </w:pPr>
            <w:r w:rsidRPr="007B5568">
              <w:rPr>
                <w:b/>
                <w:bCs w:val="0"/>
              </w:rPr>
              <w:t>Strategy</w:t>
            </w:r>
          </w:p>
        </w:tc>
        <w:tc>
          <w:tcPr>
            <w:tcW w:w="1162" w:type="dxa"/>
            <w:tcBorders>
              <w:bottom w:val="single" w:sz="4" w:space="0" w:color="auto"/>
            </w:tcBorders>
          </w:tcPr>
          <w:p w14:paraId="5C82E389" w14:textId="499A89DE" w:rsidR="00B869F0" w:rsidRPr="007B5568" w:rsidRDefault="00B869F0" w:rsidP="006B2A75">
            <w:pPr>
              <w:pStyle w:val="TableColumn"/>
              <w:rPr>
                <w:b/>
              </w:rPr>
            </w:pPr>
            <w:r w:rsidRPr="007B5568">
              <w:rPr>
                <w:b/>
              </w:rPr>
              <w:t>Type of document</w:t>
            </w:r>
          </w:p>
        </w:tc>
        <w:tc>
          <w:tcPr>
            <w:tcW w:w="3210" w:type="dxa"/>
            <w:tcBorders>
              <w:bottom w:val="single" w:sz="4" w:space="0" w:color="auto"/>
            </w:tcBorders>
          </w:tcPr>
          <w:p w14:paraId="245FE593" w14:textId="1E645C8E" w:rsidR="00B869F0" w:rsidRPr="007B5568" w:rsidRDefault="00B869F0" w:rsidP="006B2A75">
            <w:pPr>
              <w:pStyle w:val="TableColumn"/>
              <w:rPr>
                <w:b/>
              </w:rPr>
            </w:pPr>
            <w:r w:rsidRPr="007B5568">
              <w:rPr>
                <w:b/>
              </w:rPr>
              <w:t>Objectives</w:t>
            </w:r>
          </w:p>
        </w:tc>
        <w:tc>
          <w:tcPr>
            <w:tcW w:w="1701" w:type="dxa"/>
            <w:tcBorders>
              <w:bottom w:val="single" w:sz="4" w:space="0" w:color="auto"/>
            </w:tcBorders>
          </w:tcPr>
          <w:p w14:paraId="0DF6F3F9" w14:textId="5E93AE78" w:rsidR="00B869F0" w:rsidRPr="007B5568" w:rsidRDefault="00B869F0" w:rsidP="006B2A75">
            <w:pPr>
              <w:pStyle w:val="TableColumn"/>
              <w:rPr>
                <w:b/>
              </w:rPr>
            </w:pPr>
            <w:r w:rsidRPr="007B5568">
              <w:rPr>
                <w:b/>
              </w:rPr>
              <w:t>Recipients</w:t>
            </w:r>
          </w:p>
        </w:tc>
        <w:tc>
          <w:tcPr>
            <w:tcW w:w="3855" w:type="dxa"/>
            <w:tcBorders>
              <w:bottom w:val="single" w:sz="4" w:space="0" w:color="auto"/>
            </w:tcBorders>
          </w:tcPr>
          <w:p w14:paraId="55FA5A71" w14:textId="1D5C8C78" w:rsidR="00B869F0" w:rsidRPr="007B5568" w:rsidRDefault="00B869F0" w:rsidP="006B2A75">
            <w:pPr>
              <w:pStyle w:val="TableColumn"/>
              <w:rPr>
                <w:b/>
              </w:rPr>
            </w:pPr>
            <w:r w:rsidRPr="007B5568">
              <w:rPr>
                <w:b/>
              </w:rPr>
              <w:t>Special features</w:t>
            </w:r>
          </w:p>
        </w:tc>
        <w:tc>
          <w:tcPr>
            <w:tcW w:w="1815" w:type="dxa"/>
            <w:tcBorders>
              <w:bottom w:val="single" w:sz="4" w:space="0" w:color="auto"/>
            </w:tcBorders>
            <w:shd w:val="clear" w:color="auto" w:fill="F2F2F2" w:themeFill="background1" w:themeFillShade="F2"/>
          </w:tcPr>
          <w:p w14:paraId="006C89BB" w14:textId="62900AC9" w:rsidR="00B869F0" w:rsidRPr="007B5568" w:rsidRDefault="00B869F0" w:rsidP="006B2A75">
            <w:pPr>
              <w:pStyle w:val="TableColumn"/>
              <w:rPr>
                <w:b/>
              </w:rPr>
            </w:pPr>
            <w:r w:rsidRPr="007B5568">
              <w:rPr>
                <w:b/>
              </w:rPr>
              <w:t>Common features</w:t>
            </w:r>
          </w:p>
        </w:tc>
      </w:tr>
      <w:tr w:rsidR="007B5568" w:rsidRPr="00454399" w14:paraId="1A76905D" w14:textId="77777777" w:rsidTr="007B5568">
        <w:trPr>
          <w:cnfStyle w:val="000000100000" w:firstRow="0" w:lastRow="0" w:firstColumn="0" w:lastColumn="0" w:oddVBand="0" w:evenVBand="0" w:oddHBand="1" w:evenHBand="0" w:firstRowFirstColumn="0" w:firstRowLastColumn="0" w:lastRowFirstColumn="0" w:lastRowLastColumn="0"/>
        </w:trPr>
        <w:tc>
          <w:tcPr>
            <w:tcW w:w="1440" w:type="dxa"/>
            <w:tcBorders>
              <w:top w:val="single" w:sz="4" w:space="0" w:color="auto"/>
            </w:tcBorders>
            <w:vAlign w:val="center"/>
          </w:tcPr>
          <w:p w14:paraId="11197F10" w14:textId="776C20B2" w:rsidR="007B5568" w:rsidRPr="00454399" w:rsidRDefault="007B5568" w:rsidP="00B869F0">
            <w:pPr>
              <w:pStyle w:val="TableRow"/>
            </w:pPr>
            <w:r>
              <w:rPr>
                <w:bCs/>
              </w:rPr>
              <w:t>NATIONAL POLICY STATEMENT ON INVESTMENT</w:t>
            </w:r>
          </w:p>
        </w:tc>
        <w:tc>
          <w:tcPr>
            <w:tcW w:w="1162" w:type="dxa"/>
            <w:tcBorders>
              <w:top w:val="single" w:sz="4" w:space="0" w:color="auto"/>
            </w:tcBorders>
            <w:vAlign w:val="center"/>
          </w:tcPr>
          <w:p w14:paraId="1F3FD5AB" w14:textId="0A2F3DE2" w:rsidR="007B5568" w:rsidRPr="00454399" w:rsidRDefault="007B5568" w:rsidP="00B869F0">
            <w:pPr>
              <w:pStyle w:val="TableRow"/>
            </w:pPr>
            <w:r>
              <w:t>Political and succinct, promotional statement</w:t>
            </w:r>
          </w:p>
        </w:tc>
        <w:tc>
          <w:tcPr>
            <w:tcW w:w="3210" w:type="dxa"/>
            <w:tcBorders>
              <w:top w:val="single" w:sz="4" w:space="0" w:color="auto"/>
            </w:tcBorders>
            <w:vAlign w:val="center"/>
          </w:tcPr>
          <w:p w14:paraId="1AB88BDC" w14:textId="77777777" w:rsidR="007B5568" w:rsidRDefault="007B5568" w:rsidP="00B869F0">
            <w:pPr>
              <w:pStyle w:val="TableCell"/>
              <w:jc w:val="left"/>
              <w:rPr>
                <w:rFonts w:ascii="Arial" w:hAnsi="Arial"/>
                <w:sz w:val="16"/>
              </w:rPr>
            </w:pPr>
            <w:r>
              <w:t xml:space="preserve">Presenting the government’s strategic vision on the role and impact of investment in the economy </w:t>
            </w:r>
          </w:p>
          <w:p w14:paraId="34DA2514" w14:textId="77777777" w:rsidR="007B5568" w:rsidRDefault="007B5568" w:rsidP="00B869F0">
            <w:pPr>
              <w:pStyle w:val="TableCell"/>
              <w:jc w:val="left"/>
            </w:pPr>
            <w:r>
              <w:t>Demonstrating the government’s commitment to foster and attract investment</w:t>
            </w:r>
          </w:p>
          <w:p w14:paraId="6EF4BE1C" w14:textId="2FCD45E9" w:rsidR="007B5568" w:rsidRPr="00454399" w:rsidRDefault="007B5568" w:rsidP="00B869F0">
            <w:pPr>
              <w:pStyle w:val="TableCell"/>
              <w:jc w:val="left"/>
            </w:pPr>
            <w:r>
              <w:t>Showcasing investment policy objectives: past, current and future reforms</w:t>
            </w:r>
          </w:p>
        </w:tc>
        <w:tc>
          <w:tcPr>
            <w:tcW w:w="1701" w:type="dxa"/>
            <w:tcBorders>
              <w:top w:val="single" w:sz="4" w:space="0" w:color="auto"/>
            </w:tcBorders>
            <w:vAlign w:val="center"/>
          </w:tcPr>
          <w:p w14:paraId="0752394E" w14:textId="77777777" w:rsidR="007B5568" w:rsidRDefault="007B5568" w:rsidP="00B869F0">
            <w:pPr>
              <w:pStyle w:val="TableCell"/>
              <w:jc w:val="left"/>
              <w:rPr>
                <w:rFonts w:ascii="Arial" w:hAnsi="Arial"/>
                <w:sz w:val="16"/>
              </w:rPr>
            </w:pPr>
            <w:r>
              <w:t>International community, economic partners</w:t>
            </w:r>
          </w:p>
          <w:p w14:paraId="786D0CBF" w14:textId="77777777" w:rsidR="007B5568" w:rsidRDefault="007B5568" w:rsidP="00B869F0">
            <w:pPr>
              <w:pStyle w:val="TableCell"/>
              <w:jc w:val="left"/>
            </w:pPr>
            <w:r>
              <w:t>International investors</w:t>
            </w:r>
          </w:p>
          <w:p w14:paraId="3E2E32D4" w14:textId="0A8EEA0F" w:rsidR="007B5568" w:rsidRPr="00454399" w:rsidRDefault="007B5568" w:rsidP="00B869F0">
            <w:pPr>
              <w:pStyle w:val="TableCell"/>
              <w:jc w:val="left"/>
            </w:pPr>
            <w:r>
              <w:t>National institutions, citizens, businesses and civil society</w:t>
            </w:r>
          </w:p>
        </w:tc>
        <w:tc>
          <w:tcPr>
            <w:tcW w:w="3855" w:type="dxa"/>
            <w:tcBorders>
              <w:top w:val="single" w:sz="4" w:space="0" w:color="auto"/>
            </w:tcBorders>
            <w:vAlign w:val="center"/>
          </w:tcPr>
          <w:p w14:paraId="3A37376B" w14:textId="77777777" w:rsidR="007B5568" w:rsidRDefault="007B5568" w:rsidP="00B869F0">
            <w:pPr>
              <w:pStyle w:val="TableCell"/>
              <w:jc w:val="left"/>
              <w:rPr>
                <w:rFonts w:ascii="Arial" w:hAnsi="Arial"/>
                <w:sz w:val="16"/>
              </w:rPr>
            </w:pPr>
            <w:r>
              <w:t>Presenting the government’s economic vision and broader investment objectives</w:t>
            </w:r>
          </w:p>
          <w:p w14:paraId="7355DF81" w14:textId="77777777" w:rsidR="007B5568" w:rsidRDefault="007B5568" w:rsidP="00B869F0">
            <w:pPr>
              <w:pStyle w:val="TableCell"/>
              <w:jc w:val="left"/>
            </w:pPr>
            <w:r>
              <w:t>Presenting recent achievements and showcasing upcoming ones</w:t>
            </w:r>
          </w:p>
          <w:p w14:paraId="406C5DAF" w14:textId="77777777" w:rsidR="007B5568" w:rsidRDefault="007B5568" w:rsidP="00B869F0">
            <w:pPr>
              <w:pStyle w:val="TableCell"/>
              <w:jc w:val="left"/>
            </w:pPr>
            <w:r>
              <w:t>Presenting the investment regulatory  framework and responsible institutions;</w:t>
            </w:r>
          </w:p>
          <w:p w14:paraId="0D60D632" w14:textId="1852EC4D" w:rsidR="007B5568" w:rsidRPr="00454399" w:rsidRDefault="007B5568" w:rsidP="00B869F0">
            <w:pPr>
              <w:pStyle w:val="TableCell"/>
              <w:jc w:val="left"/>
            </w:pPr>
            <w:r>
              <w:t>Presenting investment promotion and facilitation objectives and services</w:t>
            </w:r>
          </w:p>
        </w:tc>
        <w:tc>
          <w:tcPr>
            <w:tcW w:w="1815" w:type="dxa"/>
            <w:vMerge w:val="restart"/>
            <w:tcBorders>
              <w:top w:val="single" w:sz="4" w:space="0" w:color="auto"/>
            </w:tcBorders>
            <w:shd w:val="clear" w:color="auto" w:fill="F2F2F2" w:themeFill="background1" w:themeFillShade="F2"/>
          </w:tcPr>
          <w:p w14:paraId="6A40C513" w14:textId="77777777" w:rsidR="007B5568" w:rsidRDefault="007B5568" w:rsidP="007B5568">
            <w:pPr>
              <w:pStyle w:val="TableCell"/>
              <w:jc w:val="left"/>
              <w:rPr>
                <w:rFonts w:ascii="Arial" w:hAnsi="Arial"/>
                <w:sz w:val="16"/>
              </w:rPr>
            </w:pPr>
            <w:r>
              <w:t>Presenting national development objectives</w:t>
            </w:r>
          </w:p>
          <w:p w14:paraId="51D55E1E" w14:textId="77777777" w:rsidR="007B5568" w:rsidRDefault="007B5568" w:rsidP="007B5568">
            <w:pPr>
              <w:pStyle w:val="TableCell"/>
              <w:jc w:val="left"/>
            </w:pPr>
            <w:r>
              <w:t>Presenting main economic sectors</w:t>
            </w:r>
          </w:p>
          <w:p w14:paraId="0188742D" w14:textId="77777777" w:rsidR="007B5568" w:rsidRDefault="007B5568" w:rsidP="007B5568">
            <w:pPr>
              <w:pStyle w:val="TableCell"/>
              <w:jc w:val="left"/>
            </w:pPr>
            <w:r>
              <w:t xml:space="preserve">Presenting key FDI trends </w:t>
            </w:r>
          </w:p>
          <w:p w14:paraId="6ADD9C91" w14:textId="77777777" w:rsidR="007B5568" w:rsidRDefault="007B5568" w:rsidP="007B5568">
            <w:pPr>
              <w:pStyle w:val="TableCell"/>
              <w:jc w:val="left"/>
            </w:pPr>
            <w:r>
              <w:t xml:space="preserve">Presenting investment policy principles and values </w:t>
            </w:r>
          </w:p>
          <w:p w14:paraId="52CC45AF" w14:textId="77777777" w:rsidR="007B5568" w:rsidRDefault="007B5568" w:rsidP="007B5568">
            <w:pPr>
              <w:pStyle w:val="TableCell"/>
              <w:jc w:val="left"/>
            </w:pPr>
            <w:r>
              <w:t xml:space="preserve">Presenting investment policy and promotion objectives </w:t>
            </w:r>
          </w:p>
          <w:p w14:paraId="019A3C3F" w14:textId="77777777" w:rsidR="007B5568" w:rsidRDefault="007B5568" w:rsidP="007B5568">
            <w:pPr>
              <w:pStyle w:val="TableCell"/>
              <w:jc w:val="left"/>
            </w:pPr>
            <w:r>
              <w:t>Presenting measures to achieve objectives</w:t>
            </w:r>
          </w:p>
          <w:p w14:paraId="1505DF0F" w14:textId="77777777" w:rsidR="007B5568" w:rsidRDefault="007B5568" w:rsidP="007B5568">
            <w:pPr>
              <w:pStyle w:val="TableCell"/>
              <w:jc w:val="left"/>
            </w:pPr>
            <w:r>
              <w:t xml:space="preserve">Presenting the country’s local value propositions </w:t>
            </w:r>
          </w:p>
          <w:p w14:paraId="1D4AEF56" w14:textId="77777777" w:rsidR="007B5568" w:rsidRDefault="007B5568" w:rsidP="007B5568">
            <w:pPr>
              <w:pStyle w:val="TableCell"/>
              <w:jc w:val="left"/>
            </w:pPr>
            <w:r>
              <w:t xml:space="preserve">Presenting the target sectors, markets and related activities </w:t>
            </w:r>
          </w:p>
          <w:p w14:paraId="5ECC6DA6" w14:textId="77777777" w:rsidR="007B5568" w:rsidRDefault="007B5568" w:rsidP="007B5568">
            <w:pPr>
              <w:pStyle w:val="TableCell"/>
              <w:jc w:val="left"/>
            </w:pPr>
            <w:r>
              <w:t xml:space="preserve">Presenting performance in international rankings </w:t>
            </w:r>
          </w:p>
          <w:p w14:paraId="5705F436" w14:textId="639772B9" w:rsidR="007B5568" w:rsidRPr="00454399" w:rsidRDefault="007B5568" w:rsidP="007B5568">
            <w:pPr>
              <w:pStyle w:val="TableCell"/>
              <w:jc w:val="left"/>
            </w:pPr>
            <w:r>
              <w:t>Introducing with a foreword by a senior official (e.g. Minister)</w:t>
            </w:r>
          </w:p>
        </w:tc>
      </w:tr>
      <w:tr w:rsidR="007B5568" w:rsidRPr="00454399" w14:paraId="5D92E155" w14:textId="77777777" w:rsidTr="007B5568">
        <w:trPr>
          <w:cnfStyle w:val="000000010000" w:firstRow="0" w:lastRow="0" w:firstColumn="0" w:lastColumn="0" w:oddVBand="0" w:evenVBand="0" w:oddHBand="0" w:evenHBand="1" w:firstRowFirstColumn="0" w:firstRowLastColumn="0" w:lastRowFirstColumn="0" w:lastRowLastColumn="0"/>
        </w:trPr>
        <w:tc>
          <w:tcPr>
            <w:tcW w:w="1440" w:type="dxa"/>
            <w:vAlign w:val="center"/>
          </w:tcPr>
          <w:p w14:paraId="4E58CB9F" w14:textId="5165CC42" w:rsidR="007B5568" w:rsidRPr="00454399" w:rsidRDefault="007B5568" w:rsidP="00B869F0">
            <w:pPr>
              <w:pStyle w:val="TableRow"/>
            </w:pPr>
            <w:r>
              <w:rPr>
                <w:bCs/>
              </w:rPr>
              <w:t>INVESTMENT PROMOTION STRATEGY</w:t>
            </w:r>
          </w:p>
        </w:tc>
        <w:tc>
          <w:tcPr>
            <w:tcW w:w="1162" w:type="dxa"/>
            <w:vAlign w:val="center"/>
          </w:tcPr>
          <w:p w14:paraId="578BC6A1" w14:textId="4959F2EB" w:rsidR="007B5568" w:rsidRPr="00454399" w:rsidRDefault="007B5568" w:rsidP="00B869F0">
            <w:pPr>
              <w:pStyle w:val="TableRow"/>
            </w:pPr>
            <w:r>
              <w:t>Technical and operational action plan</w:t>
            </w:r>
          </w:p>
        </w:tc>
        <w:tc>
          <w:tcPr>
            <w:tcW w:w="3210" w:type="dxa"/>
            <w:vAlign w:val="center"/>
          </w:tcPr>
          <w:p w14:paraId="70FFC6B8" w14:textId="77777777" w:rsidR="007B5568" w:rsidRDefault="007B5568" w:rsidP="00B869F0">
            <w:pPr>
              <w:pStyle w:val="TableCell"/>
              <w:jc w:val="left"/>
              <w:rPr>
                <w:rFonts w:ascii="Arial" w:hAnsi="Arial"/>
                <w:sz w:val="16"/>
              </w:rPr>
            </w:pPr>
            <w:r>
              <w:t>Defining the IPA’s the territorial marketing strategy, including: targets, tools, timeframes and performance indicators to attract inward investment</w:t>
            </w:r>
          </w:p>
          <w:p w14:paraId="2850058D" w14:textId="1F778133" w:rsidR="007B5568" w:rsidRPr="00454399" w:rsidRDefault="007B5568" w:rsidP="00B869F0">
            <w:pPr>
              <w:pStyle w:val="TableCell"/>
              <w:jc w:val="left"/>
            </w:pPr>
            <w:r>
              <w:t>Defining the role of the IPA and other institutions involved in FDI promotion</w:t>
            </w:r>
          </w:p>
        </w:tc>
        <w:tc>
          <w:tcPr>
            <w:tcW w:w="1701" w:type="dxa"/>
            <w:vAlign w:val="center"/>
          </w:tcPr>
          <w:p w14:paraId="27B5FFDE" w14:textId="77777777" w:rsidR="007B5568" w:rsidRDefault="007B5568" w:rsidP="00B869F0">
            <w:pPr>
              <w:pStyle w:val="TableCell"/>
              <w:jc w:val="left"/>
              <w:rPr>
                <w:rFonts w:ascii="Arial" w:hAnsi="Arial"/>
                <w:sz w:val="16"/>
              </w:rPr>
            </w:pPr>
            <w:r>
              <w:t>Investment promotion practitioners (IPA’s staff)</w:t>
            </w:r>
          </w:p>
          <w:p w14:paraId="0C25A6E4" w14:textId="77777777" w:rsidR="007B5568" w:rsidRDefault="007B5568" w:rsidP="00B869F0">
            <w:pPr>
              <w:pStyle w:val="TableCell"/>
              <w:jc w:val="left"/>
            </w:pPr>
            <w:r>
              <w:t>Policymakers (competent ministries)</w:t>
            </w:r>
          </w:p>
          <w:p w14:paraId="20F1BDC1" w14:textId="1B8037FF" w:rsidR="007B5568" w:rsidRPr="00454399" w:rsidRDefault="007B5568" w:rsidP="00B869F0">
            <w:pPr>
              <w:pStyle w:val="TableCell"/>
              <w:jc w:val="left"/>
            </w:pPr>
            <w:r>
              <w:t>Other implementing agencies</w:t>
            </w:r>
          </w:p>
        </w:tc>
        <w:tc>
          <w:tcPr>
            <w:tcW w:w="3855" w:type="dxa"/>
            <w:vAlign w:val="center"/>
          </w:tcPr>
          <w:p w14:paraId="404004C3" w14:textId="77777777" w:rsidR="007B5568" w:rsidRDefault="007B5568" w:rsidP="00B869F0">
            <w:pPr>
              <w:pStyle w:val="TableCell"/>
              <w:jc w:val="left"/>
              <w:rPr>
                <w:rFonts w:ascii="Arial" w:hAnsi="Arial"/>
                <w:sz w:val="16"/>
              </w:rPr>
            </w:pPr>
            <w:r>
              <w:t xml:space="preserve">Identifying targets for FDI attraction (sectors, markets, etc.) </w:t>
            </w:r>
          </w:p>
          <w:p w14:paraId="73038EEB" w14:textId="77777777" w:rsidR="007B5568" w:rsidRDefault="007B5568" w:rsidP="00B869F0">
            <w:pPr>
              <w:pStyle w:val="TableCell"/>
              <w:jc w:val="left"/>
            </w:pPr>
            <w:r>
              <w:t>Defining marketing and targeting tools</w:t>
            </w:r>
          </w:p>
          <w:p w14:paraId="6A8EC4A8" w14:textId="77777777" w:rsidR="007B5568" w:rsidRDefault="007B5568" w:rsidP="00B869F0">
            <w:pPr>
              <w:pStyle w:val="TableCell"/>
              <w:jc w:val="left"/>
            </w:pPr>
            <w:r>
              <w:t>Defining measures to simplify investors’ establishment and expansion</w:t>
            </w:r>
          </w:p>
          <w:p w14:paraId="021B4178" w14:textId="77777777" w:rsidR="007B5568" w:rsidRDefault="007B5568" w:rsidP="00B869F0">
            <w:pPr>
              <w:pStyle w:val="TableCell"/>
              <w:jc w:val="left"/>
            </w:pPr>
            <w:r>
              <w:t xml:space="preserve">Establishing timeframes for activities </w:t>
            </w:r>
          </w:p>
          <w:p w14:paraId="75094C2F" w14:textId="6AAB434D" w:rsidR="007B5568" w:rsidRPr="00454399" w:rsidRDefault="007B5568" w:rsidP="00B869F0">
            <w:pPr>
              <w:pStyle w:val="TableCell"/>
              <w:jc w:val="left"/>
            </w:pPr>
            <w:r>
              <w:t xml:space="preserve">Establishing monitoring mechanisms and performance indicators </w:t>
            </w:r>
          </w:p>
        </w:tc>
        <w:tc>
          <w:tcPr>
            <w:tcW w:w="1815" w:type="dxa"/>
            <w:vMerge/>
            <w:shd w:val="clear" w:color="auto" w:fill="F2F2F2" w:themeFill="background1" w:themeFillShade="F2"/>
          </w:tcPr>
          <w:p w14:paraId="00BC9453" w14:textId="77777777" w:rsidR="007B5568" w:rsidRPr="00454399" w:rsidRDefault="007B5568" w:rsidP="00B869F0">
            <w:pPr>
              <w:pStyle w:val="TableCell"/>
            </w:pPr>
          </w:p>
        </w:tc>
      </w:tr>
      <w:tr w:rsidR="007B5568" w:rsidRPr="00454399" w14:paraId="61552173" w14:textId="77777777" w:rsidTr="007B5568">
        <w:trPr>
          <w:cnfStyle w:val="000000100000" w:firstRow="0" w:lastRow="0" w:firstColumn="0" w:lastColumn="0" w:oddVBand="0" w:evenVBand="0" w:oddHBand="1" w:evenHBand="0" w:firstRowFirstColumn="0" w:firstRowLastColumn="0" w:lastRowFirstColumn="0" w:lastRowLastColumn="0"/>
        </w:trPr>
        <w:tc>
          <w:tcPr>
            <w:tcW w:w="1440" w:type="dxa"/>
            <w:vAlign w:val="center"/>
          </w:tcPr>
          <w:p w14:paraId="1AC8ED47" w14:textId="77777777" w:rsidR="007B5568" w:rsidRPr="00B869F0" w:rsidRDefault="007B5568" w:rsidP="00B869F0">
            <w:pPr>
              <w:pStyle w:val="TableRow"/>
            </w:pPr>
            <w:r w:rsidRPr="00B869F0">
              <w:t>COMPREHENSIVE NATIONAL INVESTMENT</w:t>
            </w:r>
          </w:p>
          <w:p w14:paraId="35DAFADF" w14:textId="29437058" w:rsidR="007B5568" w:rsidRPr="00454399" w:rsidRDefault="007B5568" w:rsidP="00B869F0">
            <w:pPr>
              <w:pStyle w:val="TableRow"/>
            </w:pPr>
            <w:r w:rsidRPr="00B869F0">
              <w:t>STRATEGY</w:t>
            </w:r>
          </w:p>
        </w:tc>
        <w:tc>
          <w:tcPr>
            <w:tcW w:w="1162" w:type="dxa"/>
            <w:vAlign w:val="center"/>
          </w:tcPr>
          <w:p w14:paraId="66DB6806" w14:textId="1B39B89D" w:rsidR="007B5568" w:rsidRPr="00454399" w:rsidRDefault="007B5568" w:rsidP="00B869F0">
            <w:pPr>
              <w:pStyle w:val="TableRow"/>
            </w:pPr>
            <w:r>
              <w:t>Technical, comprehensive and descriptive roadmap</w:t>
            </w:r>
          </w:p>
        </w:tc>
        <w:tc>
          <w:tcPr>
            <w:tcW w:w="3210" w:type="dxa"/>
            <w:vAlign w:val="center"/>
          </w:tcPr>
          <w:p w14:paraId="46A43AD9" w14:textId="77777777" w:rsidR="007B5568" w:rsidRDefault="007B5568" w:rsidP="00B869F0">
            <w:pPr>
              <w:pStyle w:val="TableCell"/>
              <w:jc w:val="left"/>
              <w:rPr>
                <w:rFonts w:ascii="Arial" w:hAnsi="Arial"/>
                <w:sz w:val="16"/>
              </w:rPr>
            </w:pPr>
            <w:r>
              <w:t>Defining the government’s vision to foster investment in the country and translating it into an action plan</w:t>
            </w:r>
          </w:p>
          <w:p w14:paraId="25726EF3" w14:textId="77777777" w:rsidR="007B5568" w:rsidRDefault="007B5568" w:rsidP="00B869F0">
            <w:pPr>
              <w:pStyle w:val="TableCell"/>
              <w:jc w:val="left"/>
            </w:pPr>
            <w:r>
              <w:t>Defining how investment can support economic growth and sustainable development</w:t>
            </w:r>
          </w:p>
          <w:p w14:paraId="32172B22" w14:textId="77777777" w:rsidR="007B5568" w:rsidRDefault="007B5568" w:rsidP="00B869F0">
            <w:pPr>
              <w:pStyle w:val="TableCell"/>
              <w:jc w:val="left"/>
            </w:pPr>
            <w:r>
              <w:t>Defining what should be the related reforms and concrete measures</w:t>
            </w:r>
          </w:p>
          <w:p w14:paraId="0A3293F0" w14:textId="3DDE7C70" w:rsidR="007B5568" w:rsidRPr="00454399" w:rsidRDefault="007B5568" w:rsidP="00B869F0">
            <w:pPr>
              <w:pStyle w:val="TableCell"/>
              <w:jc w:val="left"/>
            </w:pPr>
            <w:r>
              <w:t>Defining the role of national investment-related institutions</w:t>
            </w:r>
          </w:p>
        </w:tc>
        <w:tc>
          <w:tcPr>
            <w:tcW w:w="1701" w:type="dxa"/>
            <w:vAlign w:val="center"/>
          </w:tcPr>
          <w:p w14:paraId="20F0E9D6" w14:textId="77777777" w:rsidR="007B5568" w:rsidRDefault="007B5568" w:rsidP="00B869F0">
            <w:pPr>
              <w:pStyle w:val="TableCell"/>
              <w:jc w:val="left"/>
              <w:rPr>
                <w:rFonts w:ascii="Arial" w:hAnsi="Arial"/>
                <w:sz w:val="16"/>
              </w:rPr>
            </w:pPr>
            <w:r>
              <w:t>Policymakers (competent ministries)</w:t>
            </w:r>
          </w:p>
          <w:p w14:paraId="516204ED" w14:textId="5547730F" w:rsidR="007B5568" w:rsidRPr="00454399" w:rsidRDefault="007B5568" w:rsidP="00B869F0">
            <w:pPr>
              <w:pStyle w:val="TableCell"/>
              <w:jc w:val="left"/>
            </w:pPr>
            <w:r>
              <w:t>IPA and other implementing agencies</w:t>
            </w:r>
          </w:p>
        </w:tc>
        <w:tc>
          <w:tcPr>
            <w:tcW w:w="3855" w:type="dxa"/>
            <w:vAlign w:val="center"/>
          </w:tcPr>
          <w:p w14:paraId="4741CF58" w14:textId="77777777" w:rsidR="007B5568" w:rsidRDefault="007B5568" w:rsidP="00B869F0">
            <w:pPr>
              <w:pStyle w:val="TableCell"/>
              <w:jc w:val="left"/>
              <w:rPr>
                <w:rFonts w:ascii="Arial" w:hAnsi="Arial"/>
                <w:sz w:val="16"/>
              </w:rPr>
            </w:pPr>
            <w:r>
              <w:t>Defining the country’s objectives and orientations on investment</w:t>
            </w:r>
          </w:p>
          <w:p w14:paraId="42BC42CD" w14:textId="77777777" w:rsidR="007B5568" w:rsidRDefault="007B5568" w:rsidP="00B869F0">
            <w:pPr>
              <w:pStyle w:val="TableCell"/>
              <w:jc w:val="left"/>
            </w:pPr>
            <w:r>
              <w:t xml:space="preserve">Defining measures to ease the entry, establishment and operation of investors </w:t>
            </w:r>
          </w:p>
          <w:p w14:paraId="4B5B9886" w14:textId="77777777" w:rsidR="007B5568" w:rsidRDefault="007B5568" w:rsidP="00B869F0">
            <w:pPr>
              <w:pStyle w:val="TableCell"/>
              <w:jc w:val="left"/>
            </w:pPr>
            <w:r>
              <w:t xml:space="preserve">Presenting a detailed action plan, including on investment policy reforms </w:t>
            </w:r>
          </w:p>
          <w:p w14:paraId="13F735A8" w14:textId="77777777" w:rsidR="007B5568" w:rsidRDefault="007B5568" w:rsidP="00B869F0">
            <w:pPr>
              <w:pStyle w:val="TableCell"/>
              <w:jc w:val="left"/>
            </w:pPr>
            <w:r>
              <w:t>Assigning implementation responsibilities</w:t>
            </w:r>
          </w:p>
          <w:p w14:paraId="0DD233DE" w14:textId="77777777" w:rsidR="007B5568" w:rsidRDefault="007B5568" w:rsidP="00B869F0">
            <w:pPr>
              <w:pStyle w:val="TableCell"/>
              <w:jc w:val="left"/>
            </w:pPr>
            <w:r>
              <w:t>Establishing timeframes for activities</w:t>
            </w:r>
          </w:p>
          <w:p w14:paraId="3863CE6A" w14:textId="541C8A36" w:rsidR="007B5568" w:rsidRPr="00454399" w:rsidRDefault="007B5568" w:rsidP="00B869F0">
            <w:pPr>
              <w:pStyle w:val="TableCell"/>
              <w:jc w:val="left"/>
            </w:pPr>
            <w:r>
              <w:t xml:space="preserve">Establishing monitoring mechanisms and performance indicators </w:t>
            </w:r>
          </w:p>
        </w:tc>
        <w:tc>
          <w:tcPr>
            <w:tcW w:w="1815" w:type="dxa"/>
            <w:vMerge/>
            <w:shd w:val="clear" w:color="auto" w:fill="F2F2F2" w:themeFill="background1" w:themeFillShade="F2"/>
          </w:tcPr>
          <w:p w14:paraId="67F29BEF" w14:textId="77777777" w:rsidR="007B5568" w:rsidRPr="00454399" w:rsidRDefault="007B5568" w:rsidP="00B869F0">
            <w:pPr>
              <w:pStyle w:val="TableCell"/>
            </w:pPr>
          </w:p>
        </w:tc>
      </w:tr>
    </w:tbl>
    <w:p w14:paraId="6E59A180" w14:textId="6D4454D2" w:rsidR="006B2A75" w:rsidRDefault="001F34E8" w:rsidP="007B5568">
      <w:pPr>
        <w:pStyle w:val="Sourcenotes"/>
        <w:sectPr w:rsidR="006B2A75" w:rsidSect="006B2A75">
          <w:endnotePr>
            <w:numFmt w:val="decimal"/>
            <w:numRestart w:val="eachSect"/>
          </w:endnotePr>
          <w:pgSz w:w="16838" w:h="11906" w:orient="landscape" w:code="9"/>
          <w:pgMar w:top="1304" w:right="2098" w:bottom="1304" w:left="1928" w:header="1531" w:footer="1134" w:gutter="0"/>
          <w:cols w:space="708"/>
          <w:docGrid w:linePitch="360"/>
        </w:sectPr>
      </w:pPr>
      <w:r w:rsidRPr="00454399">
        <w:rPr>
          <w:i/>
        </w:rPr>
        <w:t>Source</w:t>
      </w:r>
      <w:r>
        <w:t>: OECD (</w:t>
      </w:r>
      <w:r w:rsidR="007F242F">
        <w:t xml:space="preserve">forthcoming </w:t>
      </w:r>
      <w:r>
        <w:t>2020).</w:t>
      </w:r>
    </w:p>
    <w:p w14:paraId="2A9A320F" w14:textId="75604244" w:rsidR="00B028A9" w:rsidRDefault="00460AB6" w:rsidP="00B028A9">
      <w:pPr>
        <w:pStyle w:val="Heading1"/>
        <w:rPr>
          <w:rFonts w:hint="eastAsia"/>
        </w:rPr>
      </w:pPr>
      <w:bookmarkStart w:id="97" w:name="_Toc31228354"/>
      <w:bookmarkStart w:id="98" w:name="_Toc31983288"/>
      <w:bookmarkStart w:id="99" w:name="_Toc33443299"/>
      <w:r>
        <w:lastRenderedPageBreak/>
        <w:t>Making better</w:t>
      </w:r>
      <w:r w:rsidR="00B028A9">
        <w:t xml:space="preserve"> use of tax incentives</w:t>
      </w:r>
      <w:bookmarkEnd w:id="97"/>
      <w:bookmarkEnd w:id="98"/>
      <w:bookmarkEnd w:id="99"/>
    </w:p>
    <w:p w14:paraId="14DE7D82" w14:textId="4D87BF5C" w:rsidR="003B7EFA" w:rsidRDefault="003B7EFA" w:rsidP="003B7EFA">
      <w:pPr>
        <w:pStyle w:val="Para0"/>
      </w:pPr>
      <w:r w:rsidRPr="008B2CF9">
        <w:t xml:space="preserve">Investment </w:t>
      </w:r>
      <w:r>
        <w:t xml:space="preserve">tax </w:t>
      </w:r>
      <w:r w:rsidRPr="008B2CF9">
        <w:t>incentives are a commonly used tool to influence</w:t>
      </w:r>
      <w:r>
        <w:t xml:space="preserve"> the size, location or industry of an investment project, by affecting its relative cost or by altering the risks attached to it. For some governments, it is simpler and more immediate to provide incentives than to correct deficiencies in infrastructure and labour skills, for example. Tax incentives can also be politically easier to deliver than other types of subsidies as they do not require additional funds. </w:t>
      </w:r>
      <w:r w:rsidRPr="00E40D9D">
        <w:t xml:space="preserve">Despite the prevalence of tax incentives, some studies have found that they have </w:t>
      </w:r>
      <w:r w:rsidR="00142433">
        <w:t xml:space="preserve">a </w:t>
      </w:r>
      <w:r w:rsidRPr="00E40D9D">
        <w:t xml:space="preserve">limited </w:t>
      </w:r>
      <w:r>
        <w:t>effect</w:t>
      </w:r>
      <w:r w:rsidRPr="00E40D9D">
        <w:t xml:space="preserve"> in attracting investme</w:t>
      </w:r>
      <w:r>
        <w:t>nt. At the same time, they impose considerable costs in terms of</w:t>
      </w:r>
      <w:r w:rsidRPr="009979CA">
        <w:t xml:space="preserve"> tax complexity, neutrality and revenues forgone</w:t>
      </w:r>
      <w:r>
        <w:t>, and the societal benefits they have the potential to generate must be weighed against these costs.</w:t>
      </w:r>
    </w:p>
    <w:p w14:paraId="368193CF" w14:textId="77777777" w:rsidR="003B7EFA" w:rsidRDefault="003B7EFA" w:rsidP="003B7EFA">
      <w:pPr>
        <w:pStyle w:val="Heading2"/>
        <w:rPr>
          <w:rFonts w:hint="eastAsia"/>
        </w:rPr>
      </w:pPr>
      <w:bookmarkStart w:id="100" w:name="_Toc31983289"/>
      <w:bookmarkStart w:id="101" w:name="_Toc33443300"/>
      <w:r>
        <w:t>Main findings</w:t>
      </w:r>
      <w:bookmarkEnd w:id="100"/>
      <w:bookmarkEnd w:id="101"/>
    </w:p>
    <w:p w14:paraId="24102CCA" w14:textId="77777777" w:rsidR="003B7EFA" w:rsidRDefault="003B7EFA" w:rsidP="003B7EFA">
      <w:pPr>
        <w:pStyle w:val="Para0"/>
      </w:pPr>
      <w:r>
        <w:t xml:space="preserve">Statutory corporate income tax rates have declined considerably, worldwide, and among EaP countries, where they reached an average rate of 17% in 2019. EaP countries also experienced vast improvements in tax administration, thanks to </w:t>
      </w:r>
      <w:r w:rsidRPr="003A5A13">
        <w:t>simplification and increase</w:t>
      </w:r>
      <w:r>
        <w:t>d transparency of the tax system, although paying taxes remains time-consuming and costly in Ukraine, Armenia and Belarus.</w:t>
      </w:r>
    </w:p>
    <w:p w14:paraId="1B930AE4" w14:textId="77777777" w:rsidR="003B7EFA" w:rsidRDefault="003B7EFA" w:rsidP="003B7EFA">
      <w:pPr>
        <w:pStyle w:val="Para0"/>
      </w:pPr>
      <w:r>
        <w:t>EaP countries tend to offer a generous package of fiscal incentives that are increasingly targeted towards promoting investments in R&amp;D-intensive activities, agriculture and renewable energy. These incentives primarily take the form of slashed corporate taxes to investors in designated locations or that engage in qualifying activities, typically (but not always) for a defined period of time. Armenia, Georgia and Moldova also offer CIT deductions on R&amp;D expenses to all investors, which are considered to be less detrimental to fiscal budgets and in line with good practice.</w:t>
      </w:r>
    </w:p>
    <w:p w14:paraId="73158792" w14:textId="77777777" w:rsidR="003B7EFA" w:rsidRDefault="003B7EFA" w:rsidP="003B7EFA">
      <w:pPr>
        <w:pStyle w:val="Para0"/>
      </w:pPr>
      <w:r>
        <w:t>Many countries in the region provide support for green energy investments.</w:t>
      </w:r>
      <w:r w:rsidRPr="00AE690E">
        <w:t xml:space="preserve"> </w:t>
      </w:r>
      <w:r>
        <w:t xml:space="preserve">In Moldova, incentives include reduced customs duties on imports, exemption from VAT on installation work and other inputs for renewable energy projects. </w:t>
      </w:r>
      <w:r w:rsidRPr="000D57AF">
        <w:t>However, some of the relevant provisions have been reported to be unclear in terms of t</w:t>
      </w:r>
      <w:r>
        <w:t>echnologies and projects</w:t>
      </w:r>
      <w:r w:rsidRPr="000D57AF">
        <w:t xml:space="preserve"> eligible </w:t>
      </w:r>
      <w:r>
        <w:t>for</w:t>
      </w:r>
      <w:r w:rsidRPr="000D57AF">
        <w:t xml:space="preserve"> tax benefits</w:t>
      </w:r>
      <w:r>
        <w:t xml:space="preserve">, </w:t>
      </w:r>
      <w:r w:rsidRPr="000D57AF">
        <w:t xml:space="preserve">both </w:t>
      </w:r>
      <w:r>
        <w:t xml:space="preserve">by </w:t>
      </w:r>
      <w:r w:rsidRPr="000D57AF">
        <w:t>the investor community and the authorities responsible for implementation</w:t>
      </w:r>
      <w:r>
        <w:t>.</w:t>
      </w:r>
    </w:p>
    <w:p w14:paraId="1BFED577" w14:textId="77777777" w:rsidR="003B7EFA" w:rsidRDefault="003B7EFA" w:rsidP="003B7EFA">
      <w:pPr>
        <w:pStyle w:val="Para0"/>
      </w:pPr>
      <w:r>
        <w:t>The SEZ regimes of EaP countries offer exceedingly generous fiscal incentives to attract investors, conditional on minimum levels of capital, and in the case of free zones, exports. Profit tax is permanently zero in the free zones of Armenia, Belarus and Georgia, and permanently halved in Moldova, resulting in potentially huge losses in government revenues. Compared to the in-land regime, these free zone regimes offer a substantial competitive advantage to the detriment of in-land investors. There is considerably more variation in the advantages offered in industrial and technology parks, with permanently zero or reduced rates in Belarus and Moldova, a seven year holiday followed by the statutory rate in Azerbaijan, and no preferential rate in Ukraine’s industrial parks. The more economical and less distortionary approach is to limit CIT exemptions to a pre-defined period of time and phase out reduced tax rates, which unnecessarily complicate the tax system (as is the case in Azerbaijan), or phase out zone-specific CIT holidays altogether (as is the case in Ukraine).</w:t>
      </w:r>
    </w:p>
    <w:p w14:paraId="1A4FFF97" w14:textId="77777777" w:rsidR="003B7EFA" w:rsidRDefault="003B7EFA" w:rsidP="003B7EFA">
      <w:pPr>
        <w:pStyle w:val="Heading3"/>
      </w:pPr>
      <w:r>
        <w:lastRenderedPageBreak/>
        <w:t>Key recommendations</w:t>
      </w:r>
    </w:p>
    <w:p w14:paraId="0A0CF0AB" w14:textId="31CDCE42" w:rsidR="003B7EFA" w:rsidRPr="009E3656" w:rsidRDefault="00460AB6" w:rsidP="003B7EFA">
      <w:pPr>
        <w:pStyle w:val="BulletedList"/>
      </w:pPr>
      <w:r>
        <w:t>C</w:t>
      </w:r>
      <w:r w:rsidR="003B7EFA" w:rsidRPr="009E3656">
        <w:t xml:space="preserve">onduct cost-benefit analysis of existing incentive schemes. This involves linking incentives to policy objectives and </w:t>
      </w:r>
      <w:r w:rsidR="00841893">
        <w:t>concrete targets</w:t>
      </w:r>
      <w:r w:rsidR="003B7EFA" w:rsidRPr="009E3656">
        <w:t xml:space="preserve">, and evaluating whether realised </w:t>
      </w:r>
      <w:r w:rsidR="00841893" w:rsidRPr="009E3656">
        <w:t>investment</w:t>
      </w:r>
      <w:r w:rsidR="00841893">
        <w:t>s outweigh</w:t>
      </w:r>
      <w:r w:rsidR="003B7EFA" w:rsidRPr="009E3656">
        <w:t xml:space="preserve"> the </w:t>
      </w:r>
      <w:r w:rsidR="00841893">
        <w:t>economic costs of the incentive regimes</w:t>
      </w:r>
      <w:r w:rsidR="003B7EFA" w:rsidRPr="009E3656">
        <w:t xml:space="preserve"> and </w:t>
      </w:r>
      <w:r w:rsidR="00841893">
        <w:t xml:space="preserve">meet </w:t>
      </w:r>
      <w:r w:rsidR="00142433">
        <w:t>the establish</w:t>
      </w:r>
      <w:r w:rsidR="00145D82">
        <w:t>e</w:t>
      </w:r>
      <w:r w:rsidR="00142433">
        <w:t xml:space="preserve">d </w:t>
      </w:r>
      <w:r w:rsidR="003B7EFA" w:rsidRPr="009E3656">
        <w:t xml:space="preserve">targets. Information on incentives should be centralised, </w:t>
      </w:r>
      <w:r w:rsidR="00841893">
        <w:t xml:space="preserve">easily accessible, </w:t>
      </w:r>
      <w:r w:rsidR="003B7EFA" w:rsidRPr="009E3656">
        <w:t xml:space="preserve">and potentially consolidated into a single </w:t>
      </w:r>
      <w:r w:rsidR="004C6075">
        <w:t>tax code</w:t>
      </w:r>
      <w:r w:rsidR="003B7EFA" w:rsidRPr="009E3656">
        <w:t>, to increase transparency for investors.</w:t>
      </w:r>
    </w:p>
    <w:p w14:paraId="67115A92" w14:textId="15EAB5AD" w:rsidR="00CE27A2" w:rsidRDefault="00CE27A2" w:rsidP="009E19A4">
      <w:pPr>
        <w:pStyle w:val="BulletedList"/>
      </w:pPr>
      <w:r>
        <w:t>Phase out permanent CIT exemptions (</w:t>
      </w:r>
      <w:r w:rsidRPr="009E3656">
        <w:t>Armenia, Belarus and Georgia</w:t>
      </w:r>
      <w:r>
        <w:t>) and reductions (Moldova) available to free zone investors to curb government revenue losses, eliminate excessive advantage offered to zone investors relative to inland investors, and simplify the overall incentive regimes.</w:t>
      </w:r>
    </w:p>
    <w:p w14:paraId="646300BE" w14:textId="32D639D0" w:rsidR="00E9292B" w:rsidRDefault="003B7EFA" w:rsidP="00D3459C">
      <w:pPr>
        <w:pStyle w:val="BulletedList"/>
      </w:pPr>
      <w:r w:rsidRPr="009E3656">
        <w:t>All EaP countries should consider moving towards cost-based incentives, like deductions and credits for specific activities or accelerated depreciation</w:t>
      </w:r>
      <w:r w:rsidR="00936D67">
        <w:t xml:space="preserve"> of assets</w:t>
      </w:r>
      <w:r w:rsidRPr="009E3656">
        <w:t>, which make investments profitable at the margin, and are likely to have a greater impact on investment generation</w:t>
      </w:r>
      <w:r>
        <w:t>.</w:t>
      </w:r>
    </w:p>
    <w:p w14:paraId="742762DD" w14:textId="78E5A662" w:rsidR="00027559" w:rsidRDefault="007C73EA" w:rsidP="00027559">
      <w:pPr>
        <w:pStyle w:val="Heading2"/>
        <w:rPr>
          <w:rFonts w:hint="eastAsia"/>
        </w:rPr>
      </w:pPr>
      <w:bookmarkStart w:id="102" w:name="_Toc31983290"/>
      <w:bookmarkStart w:id="103" w:name="_Toc33443301"/>
      <w:r>
        <w:t>Investment t</w:t>
      </w:r>
      <w:r w:rsidR="00027559">
        <w:t>ax incentives are costly</w:t>
      </w:r>
      <w:bookmarkEnd w:id="102"/>
      <w:bookmarkEnd w:id="103"/>
    </w:p>
    <w:p w14:paraId="1DFB8A56" w14:textId="20BD8A42" w:rsidR="00E30975" w:rsidRDefault="00E30975" w:rsidP="00E30975">
      <w:pPr>
        <w:pStyle w:val="Para0"/>
      </w:pPr>
      <w:r>
        <w:t>I</w:t>
      </w:r>
      <w:r w:rsidR="00AA5FD0">
        <w:t xml:space="preserve">nvestment </w:t>
      </w:r>
      <w:r w:rsidR="00AA5FD0" w:rsidRPr="00555CA5">
        <w:t xml:space="preserve">tax incentives are </w:t>
      </w:r>
      <w:r w:rsidR="00AA5FD0">
        <w:t>frequently used with the aim of</w:t>
      </w:r>
      <w:r w:rsidR="00AA5FD0" w:rsidRPr="00555CA5">
        <w:t xml:space="preserve"> influenc</w:t>
      </w:r>
      <w:r w:rsidR="00AA5FD0">
        <w:t>ing</w:t>
      </w:r>
      <w:r w:rsidR="00AA5FD0" w:rsidRPr="00555CA5">
        <w:t xml:space="preserve"> the size, location or </w:t>
      </w:r>
      <w:r w:rsidR="00AA5FD0">
        <w:t xml:space="preserve">sectors of FDI investment. </w:t>
      </w:r>
      <w:r w:rsidR="00227945" w:rsidRPr="009979CA">
        <w:t>Tax incentive programme</w:t>
      </w:r>
      <w:r w:rsidR="000130F2" w:rsidRPr="009979CA">
        <w:t>s</w:t>
      </w:r>
      <w:r w:rsidR="00227945" w:rsidRPr="009979CA">
        <w:t xml:space="preserve"> can contribute to improving a country’s </w:t>
      </w:r>
      <w:r w:rsidR="000130F2" w:rsidRPr="009979CA">
        <w:t>socio-</w:t>
      </w:r>
      <w:r w:rsidR="00227945" w:rsidRPr="009979CA">
        <w:t xml:space="preserve">economic welfare, </w:t>
      </w:r>
      <w:r>
        <w:t>so long as</w:t>
      </w:r>
      <w:r w:rsidR="00227945" w:rsidRPr="009979CA">
        <w:t xml:space="preserve"> the</w:t>
      </w:r>
      <w:r w:rsidR="000130F2" w:rsidRPr="009979CA">
        <w:t xml:space="preserve"> societal</w:t>
      </w:r>
      <w:r w:rsidR="00227945" w:rsidRPr="009979CA">
        <w:t xml:space="preserve"> benefits generated exceed the </w:t>
      </w:r>
      <w:r w:rsidR="00A038AD" w:rsidRPr="009979CA">
        <w:t xml:space="preserve">associated </w:t>
      </w:r>
      <w:r w:rsidR="00227945" w:rsidRPr="009979CA">
        <w:t>costs. The potential to attract investment</w:t>
      </w:r>
      <w:r w:rsidR="000130F2" w:rsidRPr="009979CA">
        <w:t>, create jobs, acquire knowledge, skills and technology,</w:t>
      </w:r>
      <w:r w:rsidR="00227945" w:rsidRPr="009979CA">
        <w:t xml:space="preserve"> and </w:t>
      </w:r>
      <w:r w:rsidR="000130F2" w:rsidRPr="009979CA">
        <w:t xml:space="preserve">boost </w:t>
      </w:r>
      <w:r w:rsidR="00227945" w:rsidRPr="009979CA">
        <w:t xml:space="preserve">economic growth must be weighed against the </w:t>
      </w:r>
      <w:r w:rsidR="00E7350C" w:rsidRPr="009979CA">
        <w:t xml:space="preserve">resulting </w:t>
      </w:r>
      <w:r w:rsidR="007B57F8" w:rsidRPr="009979CA">
        <w:t xml:space="preserve">costs in terms of </w:t>
      </w:r>
      <w:r w:rsidR="006F4C1D" w:rsidRPr="009979CA">
        <w:t xml:space="preserve">tax </w:t>
      </w:r>
      <w:r w:rsidR="007B57F8" w:rsidRPr="009979CA">
        <w:t>complexity, neutrality and revenues forgone</w:t>
      </w:r>
      <w:r>
        <w:t xml:space="preserve"> (Box 4.1)</w:t>
      </w:r>
      <w:r w:rsidR="007B57F8" w:rsidRPr="009979CA">
        <w:t>.</w:t>
      </w:r>
      <w:r w:rsidR="00A25679">
        <w:t xml:space="preserve"> </w:t>
      </w:r>
      <w:r w:rsidRPr="009979CA">
        <w:t xml:space="preserve">International organisations often advise against excessive reliance on tax incentives, and, </w:t>
      </w:r>
      <w:r w:rsidR="00337060">
        <w:t>at a minimum</w:t>
      </w:r>
      <w:r w:rsidRPr="009979CA">
        <w:t xml:space="preserve">, </w:t>
      </w:r>
      <w:r w:rsidR="00FD6A4E">
        <w:t>emphasise the need to improve</w:t>
      </w:r>
      <w:r w:rsidRPr="009979CA">
        <w:t xml:space="preserve"> their design, transparency and administration.</w:t>
      </w:r>
      <w:r>
        <w:t xml:space="preserve"> P</w:t>
      </w:r>
      <w:r w:rsidRPr="00555CA5">
        <w:t xml:space="preserve">oorly designed </w:t>
      </w:r>
      <w:r>
        <w:t>tax incentives</w:t>
      </w:r>
      <w:r w:rsidRPr="00555CA5">
        <w:t xml:space="preserve"> have limited effectiveness in attracting new investment</w:t>
      </w:r>
      <w:r>
        <w:t xml:space="preserve"> and</w:t>
      </w:r>
      <w:r w:rsidRPr="00555CA5">
        <w:t xml:space="preserve"> may induce distortions ac</w:t>
      </w:r>
      <w:r>
        <w:t xml:space="preserve">ross different investments, or </w:t>
      </w:r>
      <w:r w:rsidRPr="00555CA5">
        <w:t>result in windfall gains for projects that would have taken place in absence of the incentive</w:t>
      </w:r>
      <w:r>
        <w:t>s</w:t>
      </w:r>
      <w:r w:rsidRPr="00555CA5">
        <w:t>.</w:t>
      </w:r>
      <w:r>
        <w:t xml:space="preserve"> Countries may end up in a race-to-the-bottom</w:t>
      </w:r>
      <w:r w:rsidR="00337060">
        <w:t xml:space="preserve"> competition</w:t>
      </w:r>
      <w:r>
        <w:t xml:space="preserve">, where </w:t>
      </w:r>
      <w:r w:rsidR="007306E2">
        <w:t xml:space="preserve">tax </w:t>
      </w:r>
      <w:r>
        <w:t>incentives become increasingly generous and less effective at the same time.</w:t>
      </w:r>
      <w:r w:rsidR="00337060">
        <w:t xml:space="preserve"> </w:t>
      </w:r>
      <w:r>
        <w:t>Ensuring that the most appropriate (or smart) incentives are in place can help maximise their societal benefits.</w:t>
      </w:r>
    </w:p>
    <w:p w14:paraId="4CF72377" w14:textId="50A8007B" w:rsidR="007306E2" w:rsidRDefault="007306E2" w:rsidP="007306E2">
      <w:pPr>
        <w:pStyle w:val="Para0"/>
      </w:pPr>
      <w:r w:rsidRPr="00FB5E49">
        <w:t>The OECD and other international organisations have developed principles</w:t>
      </w:r>
      <w:r>
        <w:t xml:space="preserve"> and options</w:t>
      </w:r>
      <w:r w:rsidRPr="00FB5E49">
        <w:t xml:space="preserve"> for the use of investment</w:t>
      </w:r>
      <w:r>
        <w:t xml:space="preserve"> tax incentives</w:t>
      </w:r>
      <w:r w:rsidRPr="00FB5E49">
        <w:t>.</w:t>
      </w:r>
      <w:r>
        <w:t xml:space="preserve"> </w:t>
      </w:r>
      <w:r w:rsidRPr="00FB5E49">
        <w:t>In 2003</w:t>
      </w:r>
      <w:r>
        <w:t>,</w:t>
      </w:r>
      <w:r w:rsidRPr="00FB5E49">
        <w:t xml:space="preserve"> the OECD Committee on International Investment and Multina</w:t>
      </w:r>
      <w:r w:rsidR="00C46B17">
        <w:t>tional Enterprises agreed on a c</w:t>
      </w:r>
      <w:r w:rsidRPr="00FB5E49">
        <w:t xml:space="preserve">hecklist for FDI </w:t>
      </w:r>
      <w:r>
        <w:t>i</w:t>
      </w:r>
      <w:r w:rsidRPr="00FB5E49">
        <w:t xml:space="preserve">ncentive </w:t>
      </w:r>
      <w:r>
        <w:t>p</w:t>
      </w:r>
      <w:r w:rsidRPr="00FB5E49">
        <w:t>olicies</w:t>
      </w:r>
      <w:r>
        <w:t xml:space="preserve"> (OECD, 2003)</w:t>
      </w:r>
      <w:r w:rsidRPr="00FB5E49">
        <w:t xml:space="preserve">. The </w:t>
      </w:r>
      <w:r w:rsidR="00C46B17">
        <w:t>c</w:t>
      </w:r>
      <w:r w:rsidRPr="00FB5E49">
        <w:t xml:space="preserve">hecklist </w:t>
      </w:r>
      <w:r>
        <w:t>allows</w:t>
      </w:r>
      <w:r w:rsidRPr="00FB5E49">
        <w:t xml:space="preserve"> </w:t>
      </w:r>
      <w:r>
        <w:t>for an</w:t>
      </w:r>
      <w:r w:rsidRPr="00FB5E49">
        <w:t xml:space="preserve"> assess</w:t>
      </w:r>
      <w:r>
        <w:t>ment of</w:t>
      </w:r>
      <w:r w:rsidRPr="00FB5E49">
        <w:t xml:space="preserve"> the costs and benefits of using incentives to attract FDI, provide</w:t>
      </w:r>
      <w:r>
        <w:t>s</w:t>
      </w:r>
      <w:r w:rsidRPr="00FB5E49">
        <w:t xml:space="preserve"> operational criteria for avoiding wasteful effects and identif</w:t>
      </w:r>
      <w:r>
        <w:t>ies</w:t>
      </w:r>
      <w:r w:rsidRPr="00FB5E49">
        <w:t xml:space="preserve"> the potential pitfalls and risks of excessive relian</w:t>
      </w:r>
      <w:r>
        <w:t>ce on incentive</w:t>
      </w:r>
      <w:r w:rsidRPr="00FB5E49">
        <w:t xml:space="preserve">-based strategies. </w:t>
      </w:r>
      <w:r>
        <w:t>I</w:t>
      </w:r>
      <w:r w:rsidRPr="00FB5E49">
        <w:t>n 2011, OECD’s Task Force on Tax and Development developed a set of principles to enhance the transparency and governance of tax incentives for investment in developing countries</w:t>
      </w:r>
      <w:r>
        <w:t xml:space="preserve"> (OECD, 2011)</w:t>
      </w:r>
      <w:r w:rsidRPr="00FB5E49">
        <w:t>.</w:t>
      </w:r>
      <w:r>
        <w:t xml:space="preserve"> Both the checklist and the principles </w:t>
      </w:r>
      <w:r w:rsidRPr="00FB5E49">
        <w:t xml:space="preserve">are reflected in the </w:t>
      </w:r>
      <w:r>
        <w:t xml:space="preserve">2015 update of the </w:t>
      </w:r>
      <w:r w:rsidRPr="00FB5E49">
        <w:t>OECD Policy</w:t>
      </w:r>
      <w:r>
        <w:t xml:space="preserve"> Framework for Investment (OECD, 2015</w:t>
      </w:r>
      <w:r w:rsidR="00900D87">
        <w:t>a</w:t>
      </w:r>
      <w:r>
        <w:t>)</w:t>
      </w:r>
      <w:r w:rsidRPr="00FB5E49">
        <w:t xml:space="preserve">. Other international organisations and researchers have also studied investment incentives and have developed guiding principles on how to use them most effectively. A joint 2015 IMF-OECD-UN-World Bank report to the G20 Development Working Group </w:t>
      </w:r>
      <w:r>
        <w:t xml:space="preserve">as well as the World Bank’s Global Investment Competitiveness Report 2017/18 </w:t>
      </w:r>
      <w:r w:rsidRPr="00FB5E49">
        <w:t>laid out options for effective and efficient use of tax incentives for investment in low income countries</w:t>
      </w:r>
      <w:r>
        <w:t xml:space="preserve"> (</w:t>
      </w:r>
      <w:r w:rsidRPr="00FB5E49">
        <w:t>IMF-OECD-UN-World Bank</w:t>
      </w:r>
      <w:r>
        <w:t>, 2015; World Bank, 2018)</w:t>
      </w:r>
      <w:r w:rsidRPr="00FB5E49">
        <w:t>.</w:t>
      </w:r>
    </w:p>
    <w:p w14:paraId="6B93E495" w14:textId="6AB22686" w:rsidR="007306E2" w:rsidRDefault="007306E2" w:rsidP="007306E2">
      <w:pPr>
        <w:pStyle w:val="Para0"/>
      </w:pPr>
      <w:r>
        <w:t xml:space="preserve">Existing guidelines and principles provide direction on how to efficiently design and implement investment tax incentives. However, use and implementation remains weak, both at the national and international levels and particularly in developing countries. A </w:t>
      </w:r>
      <w:r>
        <w:lastRenderedPageBreak/>
        <w:t xml:space="preserve">key challenge for implementation is tax incentive competition and the expectation that unilateral tax incentive reform, particularly if the implementation involves the elimination of specific incentive programmes, could lead to less investment. Empirical evidence on the differences in use and impacts of incentives across countries also remains scarce. </w:t>
      </w:r>
      <w:r w:rsidRPr="00A10E5C">
        <w:t xml:space="preserve">The wide use of incentives globally, along with the lack of understanding of their net impacts, is an important concern for national governments and </w:t>
      </w:r>
      <w:r>
        <w:t xml:space="preserve">the </w:t>
      </w:r>
      <w:r w:rsidRPr="00A10E5C">
        <w:t>international policy communit</w:t>
      </w:r>
      <w:r>
        <w:t>y, which could</w:t>
      </w:r>
      <w:r w:rsidRPr="00A10E5C">
        <w:t xml:space="preserve"> lead to wasteful policy efforts</w:t>
      </w:r>
      <w:r>
        <w:t>.</w:t>
      </w:r>
    </w:p>
    <w:p w14:paraId="162123D6" w14:textId="6F647AF4" w:rsidR="007306E2" w:rsidRDefault="007306E2" w:rsidP="007306E2">
      <w:pPr>
        <w:pStyle w:val="Para0"/>
      </w:pPr>
      <w:r>
        <w:t xml:space="preserve">While this review does not provide a comprehensive cost-benefit analysis of investment incentives in </w:t>
      </w:r>
      <w:r w:rsidR="00027559">
        <w:t>EaP countries</w:t>
      </w:r>
      <w:r>
        <w:t>, it provides an overview of the existing preferential regimes, their advantages and limitations, and potential alternatives that may help shift toward a smarter use of fiscal instruments.</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9D4845" w14:paraId="339B49B9" w14:textId="77777777" w:rsidTr="00CF40B1">
        <w:trPr>
          <w:jc w:val="center"/>
        </w:trPr>
        <w:tc>
          <w:tcPr>
            <w:tcW w:w="9309" w:type="dxa"/>
            <w:shd w:val="clear" w:color="auto" w:fill="E1E6EB"/>
          </w:tcPr>
          <w:p w14:paraId="6377390F" w14:textId="6E8372D2" w:rsidR="009D4845" w:rsidRDefault="009D4845" w:rsidP="00CF40B1">
            <w:pPr>
              <w:pStyle w:val="Caption"/>
              <w:keepNext w:val="0"/>
            </w:pPr>
            <w:bookmarkStart w:id="104" w:name="_Toc31983229"/>
            <w:bookmarkStart w:id="105" w:name="_Toc33443346"/>
            <w:r>
              <w:t xml:space="preserve">Box </w:t>
            </w:r>
            <w:fldSimple w:instr=" STYLEREF 1 \s ">
              <w:r w:rsidR="00DC4D16">
                <w:rPr>
                  <w:noProof/>
                </w:rPr>
                <w:t>4</w:t>
              </w:r>
            </w:fldSimple>
            <w:r>
              <w:t>.</w:t>
            </w:r>
            <w:r>
              <w:rPr>
                <w:noProof/>
              </w:rPr>
              <w:fldChar w:fldCharType="begin"/>
            </w:r>
            <w:r>
              <w:rPr>
                <w:noProof/>
              </w:rPr>
              <w:instrText xml:space="preserve"> SEQ Box \* ARABIC \s 1 </w:instrText>
            </w:r>
            <w:r>
              <w:rPr>
                <w:noProof/>
              </w:rPr>
              <w:fldChar w:fldCharType="separate"/>
            </w:r>
            <w:r w:rsidR="00DC4D16">
              <w:rPr>
                <w:noProof/>
              </w:rPr>
              <w:t>1</w:t>
            </w:r>
            <w:r>
              <w:rPr>
                <w:noProof/>
              </w:rPr>
              <w:fldChar w:fldCharType="end"/>
            </w:r>
            <w:r>
              <w:t>. The economic costs of tax incentives</w:t>
            </w:r>
            <w:bookmarkEnd w:id="104"/>
            <w:bookmarkEnd w:id="105"/>
          </w:p>
          <w:p w14:paraId="6FD4E643" w14:textId="77777777" w:rsidR="009D4845" w:rsidRPr="00337060" w:rsidRDefault="009D4845" w:rsidP="00CF40B1">
            <w:pPr>
              <w:pStyle w:val="Para0"/>
              <w:rPr>
                <w:sz w:val="20"/>
              </w:rPr>
            </w:pPr>
            <w:r w:rsidRPr="00337060">
              <w:rPr>
                <w:sz w:val="20"/>
              </w:rPr>
              <w:t>The economic costs of tax incentives can be classified in four main categories:</w:t>
            </w:r>
          </w:p>
          <w:p w14:paraId="5592952B" w14:textId="77777777" w:rsidR="009D4845" w:rsidRPr="00337060" w:rsidRDefault="009D4845" w:rsidP="00CF40B1">
            <w:pPr>
              <w:pStyle w:val="Para0"/>
              <w:numPr>
                <w:ilvl w:val="0"/>
                <w:numId w:val="38"/>
              </w:numPr>
              <w:rPr>
                <w:sz w:val="20"/>
              </w:rPr>
            </w:pPr>
            <w:r w:rsidRPr="00337060">
              <w:rPr>
                <w:i/>
                <w:sz w:val="20"/>
              </w:rPr>
              <w:t>Forgone revenues</w:t>
            </w:r>
            <w:r w:rsidRPr="00337060">
              <w:rPr>
                <w:sz w:val="20"/>
              </w:rPr>
              <w:t xml:space="preserve">: the losses in tax revenue from tax incentives mainly come from three sources; first, the forgone revenue that otherwise would have been collected from the activities undertaken; second, the forgone revenue from projects that would have been undertaken even if the investor did not receive any tax incentives; and, third, lost revenue from investors and activities that improperly claim incentives (taxpayers abuse) or shift income from related taxable firms to those firms qualifying for favourable tax treatments (tax planning). Tax base erosion reduces funds available for other interventions and activities that positively affect the business environment, and society at large, in the long-run. These include much-needed public spending on infrastructure, health, education, and other forms of social support. </w:t>
            </w:r>
          </w:p>
          <w:p w14:paraId="73718422" w14:textId="77777777" w:rsidR="009D4845" w:rsidRPr="00337060" w:rsidRDefault="009D4845" w:rsidP="00CF40B1">
            <w:pPr>
              <w:pStyle w:val="Para0"/>
              <w:numPr>
                <w:ilvl w:val="0"/>
                <w:numId w:val="38"/>
              </w:numPr>
              <w:rPr>
                <w:sz w:val="20"/>
              </w:rPr>
            </w:pPr>
            <w:r w:rsidRPr="00337060">
              <w:rPr>
                <w:i/>
                <w:sz w:val="20"/>
              </w:rPr>
              <w:t xml:space="preserve">Resource allocation neutrality costs: </w:t>
            </w:r>
            <w:r w:rsidRPr="00337060">
              <w:rPr>
                <w:sz w:val="20"/>
              </w:rPr>
              <w:t>originated when tax incentives create distortions on investment choices among sectors or activities instead of correcting market failures.</w:t>
            </w:r>
          </w:p>
          <w:p w14:paraId="64E713AC" w14:textId="77777777" w:rsidR="009D4845" w:rsidRPr="00337060" w:rsidRDefault="009D4845" w:rsidP="00CF40B1">
            <w:pPr>
              <w:pStyle w:val="Para0"/>
              <w:numPr>
                <w:ilvl w:val="0"/>
                <w:numId w:val="38"/>
              </w:numPr>
              <w:rPr>
                <w:sz w:val="20"/>
              </w:rPr>
            </w:pPr>
            <w:r w:rsidRPr="00337060">
              <w:rPr>
                <w:i/>
                <w:sz w:val="20"/>
              </w:rPr>
              <w:t>Enforcement and compliance costs</w:t>
            </w:r>
            <w:r w:rsidRPr="00337060">
              <w:rPr>
                <w:sz w:val="20"/>
              </w:rPr>
              <w:t>: these costs increase with the complexity of the tax system and the system of fiscal incentives (in terms of qualifying and reporting requirements, different schemes). Additionally, there is a problem of perception of lack of fairness when targeted incentives are used, which reduces compliance and, therefore, increases enforcement efforts.</w:t>
            </w:r>
          </w:p>
          <w:p w14:paraId="0FEA8920" w14:textId="77777777" w:rsidR="009D4845" w:rsidRDefault="009D4845" w:rsidP="00CF40B1">
            <w:pPr>
              <w:pStyle w:val="Para0"/>
              <w:keepNext/>
              <w:numPr>
                <w:ilvl w:val="0"/>
                <w:numId w:val="38"/>
              </w:numPr>
            </w:pPr>
            <w:r w:rsidRPr="00337060">
              <w:rPr>
                <w:i/>
                <w:sz w:val="20"/>
              </w:rPr>
              <w:t>Lack of transparency</w:t>
            </w:r>
            <w:r w:rsidRPr="00337060">
              <w:rPr>
                <w:sz w:val="20"/>
              </w:rPr>
              <w:t>: when the rationale for granting tax incentives is based more on discretionary and subjective qualification requirements, instead of automatic and objective requirements, they can originate rent-seeking behaviour and facilitate officials’ abuse on the granting process. In particular for developing and emerging economies, it is important to move away from discretionary incentives towards greater reliance on rules-based means of attracting FDI – national and international rules that maintain or strengthen environmental and labour standards and create stability, predictability and transparency for policy makers and investors alike.</w:t>
            </w:r>
          </w:p>
        </w:tc>
      </w:tr>
    </w:tbl>
    <w:p w14:paraId="55F5FC01" w14:textId="1B48D4BA" w:rsidR="00C83503" w:rsidRDefault="00D473ED" w:rsidP="00C83503">
      <w:pPr>
        <w:pStyle w:val="Title2"/>
        <w:rPr>
          <w:rFonts w:hint="eastAsia"/>
        </w:rPr>
      </w:pPr>
      <w:bookmarkStart w:id="106" w:name="_Toc31228355"/>
      <w:bookmarkStart w:id="107" w:name="_Toc31983291"/>
      <w:bookmarkStart w:id="108" w:name="_Toc33443302"/>
      <w:r>
        <w:t>C</w:t>
      </w:r>
      <w:r w:rsidR="00C83503">
        <w:t>orporate tax</w:t>
      </w:r>
      <w:r>
        <w:t>es</w:t>
      </w:r>
      <w:r w:rsidR="00C83503">
        <w:t xml:space="preserve"> are relatively low in the region</w:t>
      </w:r>
      <w:bookmarkEnd w:id="106"/>
      <w:bookmarkEnd w:id="107"/>
      <w:bookmarkEnd w:id="108"/>
    </w:p>
    <w:p w14:paraId="58D18921" w14:textId="2D2B8E39" w:rsidR="00C83503" w:rsidRDefault="00142433" w:rsidP="00C83503">
      <w:pPr>
        <w:pStyle w:val="Para0"/>
      </w:pPr>
      <w:r>
        <w:rPr>
          <w:bCs/>
          <w:iCs/>
        </w:rPr>
        <w:t>The c</w:t>
      </w:r>
      <w:r w:rsidRPr="002D6022">
        <w:rPr>
          <w:bCs/>
          <w:iCs/>
        </w:rPr>
        <w:t xml:space="preserve">orporate </w:t>
      </w:r>
      <w:r w:rsidR="00BE03AE">
        <w:rPr>
          <w:bCs/>
          <w:iCs/>
        </w:rPr>
        <w:t>i</w:t>
      </w:r>
      <w:r w:rsidR="00C83503" w:rsidRPr="002D6022">
        <w:rPr>
          <w:bCs/>
          <w:iCs/>
        </w:rPr>
        <w:t xml:space="preserve">ncome </w:t>
      </w:r>
      <w:r w:rsidR="00BE03AE">
        <w:rPr>
          <w:bCs/>
          <w:iCs/>
        </w:rPr>
        <w:t>t</w:t>
      </w:r>
      <w:r w:rsidR="00C83503" w:rsidRPr="002D6022">
        <w:rPr>
          <w:bCs/>
          <w:iCs/>
        </w:rPr>
        <w:t>ax (CIT) rate is</w:t>
      </w:r>
      <w:r w:rsidR="00C83503" w:rsidRPr="002D6022">
        <w:rPr>
          <w:b/>
          <w:bCs/>
          <w:i/>
          <w:iCs/>
        </w:rPr>
        <w:t xml:space="preserve"> </w:t>
      </w:r>
      <w:r w:rsidR="00C83503" w:rsidRPr="002D6022">
        <w:t>t</w:t>
      </w:r>
      <w:r w:rsidR="00C83503">
        <w:t>he first point of reference for domestic and foreign investors in considering the tax b</w:t>
      </w:r>
      <w:r w:rsidR="000133A3">
        <w:t>urden of an investment project.</w:t>
      </w:r>
      <w:r w:rsidR="00C83503">
        <w:t xml:space="preserve"> However, these statutory tax rates are limited in their ability to reflect the </w:t>
      </w:r>
      <w:r w:rsidR="000133A3">
        <w:t>effective tax burden on businesses,</w:t>
      </w:r>
      <w:r w:rsidR="00C83503">
        <w:t xml:space="preserve"> as additional taxes paid on distributed dividends and interest payments (withholding taxes) may add to the tax payable by the investor, while incentives </w:t>
      </w:r>
      <w:r w:rsidR="000133A3">
        <w:t>may significantly lower actual tax liabilities</w:t>
      </w:r>
      <w:r w:rsidR="00C83503">
        <w:t xml:space="preserve">. </w:t>
      </w:r>
    </w:p>
    <w:p w14:paraId="3C63102F" w14:textId="68F21D5D" w:rsidR="00C83503" w:rsidRDefault="00C83503" w:rsidP="00C83503">
      <w:pPr>
        <w:pStyle w:val="Para0"/>
      </w:pPr>
      <w:r>
        <w:t xml:space="preserve">Statutory CIT rates have declined considerably in the last three decades worldwide </w:t>
      </w:r>
      <w:r w:rsidR="00D473ED">
        <w:t>and</w:t>
      </w:r>
      <w:r>
        <w:t xml:space="preserve"> at all levels of income, </w:t>
      </w:r>
      <w:r w:rsidR="00D473ED">
        <w:t xml:space="preserve">with </w:t>
      </w:r>
      <w:r w:rsidR="000133A3">
        <w:t xml:space="preserve">average rates among middle </w:t>
      </w:r>
      <w:r>
        <w:t>income countries dropp</w:t>
      </w:r>
      <w:r w:rsidR="00D473ED">
        <w:t>ing</w:t>
      </w:r>
      <w:r w:rsidR="00227945">
        <w:t xml:space="preserve"> from around 40% in 1990 to 2</w:t>
      </w:r>
      <w:r>
        <w:t>4% in 201</w:t>
      </w:r>
      <w:r w:rsidR="00227945">
        <w:t>8</w:t>
      </w:r>
      <w:r>
        <w:t xml:space="preserve"> </w:t>
      </w:r>
      <w:r w:rsidR="005B6046">
        <w:rPr>
          <w:noProof/>
        </w:rPr>
        <w:t>(IMF, 2019)</w:t>
      </w:r>
      <w:r w:rsidR="000133A3">
        <w:t xml:space="preserve">. </w:t>
      </w:r>
      <w:r w:rsidR="00DF18F6">
        <w:t>C</w:t>
      </w:r>
      <w:r>
        <w:t xml:space="preserve">ompetition </w:t>
      </w:r>
      <w:r w:rsidR="00DF18F6">
        <w:t xml:space="preserve">to attract </w:t>
      </w:r>
      <w:r w:rsidR="001B335F">
        <w:t>multinational investors</w:t>
      </w:r>
      <w:r w:rsidR="00DF18F6">
        <w:t xml:space="preserve"> </w:t>
      </w:r>
      <w:r>
        <w:t>ha</w:t>
      </w:r>
      <w:r w:rsidR="00B1782B">
        <w:t>s</w:t>
      </w:r>
      <w:r>
        <w:t xml:space="preserve"> contributed to progressive tax cuts and</w:t>
      </w:r>
      <w:r w:rsidR="00DF18F6">
        <w:t>, in some cases</w:t>
      </w:r>
      <w:r>
        <w:t xml:space="preserve"> to a </w:t>
      </w:r>
      <w:r>
        <w:lastRenderedPageBreak/>
        <w:t>“race to the bottom</w:t>
      </w:r>
      <w:r w:rsidR="003C3099">
        <w:t>” (Abbas and Klem</w:t>
      </w:r>
      <w:r w:rsidR="00600F1A">
        <w:t>m</w:t>
      </w:r>
      <w:r w:rsidR="003C3099">
        <w:t>, 2013).</w:t>
      </w:r>
      <w:r>
        <w:t xml:space="preserve"> </w:t>
      </w:r>
      <w:r w:rsidR="00510362">
        <w:t>In the early 2000s, tax c</w:t>
      </w:r>
      <w:r>
        <w:t xml:space="preserve">ompetition </w:t>
      </w:r>
      <w:r w:rsidR="00510362">
        <w:t>was</w:t>
      </w:r>
      <w:r>
        <w:t xml:space="preserve"> particularly intense in </w:t>
      </w:r>
      <w:r w:rsidR="00DF18F6">
        <w:t xml:space="preserve">transition economies, including </w:t>
      </w:r>
      <w:r w:rsidR="00FD6A4E">
        <w:t>the</w:t>
      </w:r>
      <w:r w:rsidR="00510362">
        <w:t xml:space="preserve"> </w:t>
      </w:r>
      <w:r w:rsidR="00775B4A">
        <w:t>EaP countries</w:t>
      </w:r>
      <w:r w:rsidR="00DF18F6">
        <w:t>,</w:t>
      </w:r>
      <w:r>
        <w:t xml:space="preserve"> pushing </w:t>
      </w:r>
      <w:r w:rsidR="00510362">
        <w:t xml:space="preserve">CIT </w:t>
      </w:r>
      <w:r>
        <w:t xml:space="preserve">rates </w:t>
      </w:r>
      <w:r w:rsidR="00DF18F6">
        <w:t xml:space="preserve">in the region </w:t>
      </w:r>
      <w:r>
        <w:t>even further down</w:t>
      </w:r>
      <w:r w:rsidR="00DF18F6">
        <w:t xml:space="preserve"> (Box 4.</w:t>
      </w:r>
      <w:r w:rsidR="00FA0699">
        <w:t>2</w:t>
      </w:r>
      <w:r w:rsidR="00DF18F6">
        <w:t>)</w:t>
      </w:r>
      <w:r>
        <w:t>. Statutory CIT rate</w:t>
      </w:r>
      <w:r w:rsidR="00510362">
        <w:t>s</w:t>
      </w:r>
      <w:r>
        <w:t xml:space="preserve"> </w:t>
      </w:r>
      <w:r w:rsidR="00510362">
        <w:t>in the region</w:t>
      </w:r>
      <w:r>
        <w:t xml:space="preserve"> averaged 22% in 2005 and have since </w:t>
      </w:r>
      <w:r w:rsidR="00510362">
        <w:t>dropped in all countries but Armenia,</w:t>
      </w:r>
      <w:r>
        <w:t xml:space="preserve"> </w:t>
      </w:r>
      <w:r w:rsidR="00510362">
        <w:t>averaging</w:t>
      </w:r>
      <w:r>
        <w:t xml:space="preserve"> 17% in 2019.</w:t>
      </w:r>
      <w:r w:rsidRPr="0056014C">
        <w:t xml:space="preserve"> </w:t>
      </w:r>
      <w:r>
        <w:t xml:space="preserve">Currently </w:t>
      </w:r>
      <w:r w:rsidR="000807D8">
        <w:t xml:space="preserve">most </w:t>
      </w:r>
      <w:r>
        <w:t xml:space="preserve">countries in the region </w:t>
      </w:r>
      <w:r w:rsidR="000807D8">
        <w:t>offer</w:t>
      </w:r>
      <w:r>
        <w:t xml:space="preserve"> rate</w:t>
      </w:r>
      <w:r w:rsidR="000807D8">
        <w:t>s</w:t>
      </w:r>
      <w:r>
        <w:t xml:space="preserve"> of 18% or 20%, while Moldova and Georgia have adopted significantly lower rates </w:t>
      </w:r>
      <w:r w:rsidR="000807D8">
        <w:t>of</w:t>
      </w:r>
      <w:r>
        <w:t xml:space="preserve"> 12% and 15%, respectively (</w:t>
      </w:r>
      <w:r w:rsidR="00FA0699">
        <w:rPr>
          <w:rFonts w:eastAsia="SimSun"/>
        </w:rPr>
        <w:t>Figure 4.1</w:t>
      </w:r>
      <w:r w:rsidR="00874723">
        <w:rPr>
          <w:rFonts w:eastAsia="SimSun"/>
        </w:rPr>
        <w:t>)</w:t>
      </w:r>
      <w:r>
        <w:t xml:space="preserve">. Armenia </w:t>
      </w:r>
      <w:r w:rsidR="000807D8">
        <w:t>is expected to</w:t>
      </w:r>
      <w:r>
        <w:t xml:space="preserve"> lower its CIT rate to 18% as of 2020 as</w:t>
      </w:r>
      <w:r w:rsidRPr="00AB0C12">
        <w:t xml:space="preserve"> part of a </w:t>
      </w:r>
      <w:r>
        <w:t xml:space="preserve">comprehensive reform to </w:t>
      </w:r>
      <w:r w:rsidRPr="00AB0C12">
        <w:t>reduce opportunities for arbitrage</w:t>
      </w:r>
      <w:r>
        <w:t xml:space="preserve"> between personal and corporate income taxation </w:t>
      </w:r>
      <w:r w:rsidR="005B6046">
        <w:rPr>
          <w:noProof/>
        </w:rPr>
        <w:t>(UNCTAD, 2019)</w:t>
      </w:r>
      <w:r w:rsidR="00BE03AE">
        <w:t>.</w:t>
      </w:r>
    </w:p>
    <w:p w14:paraId="1E20DA25" w14:textId="756944F3" w:rsidR="004C105E" w:rsidRDefault="004C105E" w:rsidP="004C105E">
      <w:pPr>
        <w:pStyle w:val="Para0"/>
      </w:pPr>
      <w:r>
        <w:t xml:space="preserve">In addition to a relatively low statutory rate, Georgia applies distributed profit taxation (DPT) to corporate earnings. Under this fiscal </w:t>
      </w:r>
      <w:r w:rsidRPr="00E93F55">
        <w:t>regime</w:t>
      </w:r>
      <w:r>
        <w:t xml:space="preserve"> – heavily inspired by the Estonian model, first adopted in 2000 – earned profits are only </w:t>
      </w:r>
      <w:r w:rsidRPr="00635B83">
        <w:t>taxe</w:t>
      </w:r>
      <w:r>
        <w:t>d</w:t>
      </w:r>
      <w:r w:rsidRPr="00635B83">
        <w:t xml:space="preserve"> </w:t>
      </w:r>
      <w:r>
        <w:t xml:space="preserve">when they are </w:t>
      </w:r>
      <w:r w:rsidRPr="00635B83">
        <w:t xml:space="preserve">distributed </w:t>
      </w:r>
      <w:r>
        <w:t>to shareholders, at a flat rate of 15%.</w:t>
      </w:r>
      <w:r w:rsidRPr="00462D8D">
        <w:t xml:space="preserve"> </w:t>
      </w:r>
      <w:r>
        <w:t>The intent of this regime is to encourage companies</w:t>
      </w:r>
      <w:r w:rsidRPr="00450AC7">
        <w:t xml:space="preserve"> </w:t>
      </w:r>
      <w:r>
        <w:t>to re-invest profits, thereby expanding or upgrading activity</w:t>
      </w:r>
      <w:r w:rsidRPr="00296993">
        <w:t xml:space="preserve"> </w:t>
      </w:r>
      <w:r>
        <w:t>and stimulating</w:t>
      </w:r>
      <w:r w:rsidRPr="00296993">
        <w:t xml:space="preserve"> economic growth</w:t>
      </w:r>
      <w:r>
        <w:t>. For re-invested profits, payments of tax is deferred for a potentially indefinite period – as long as re-investment continues to occur. The regime also lowers the effective tax rate paid on investment projects</w:t>
      </w:r>
      <w:r w:rsidR="00FD6A4E">
        <w:t>,</w:t>
      </w:r>
      <w:r>
        <w:t xml:space="preserve"> as the taxation on compounded earnings from the re-investment is lower, thereby acting as a tax incentive. The Estonian case has shown exempting re-investments from taxation is a way for developing countries with limited credit options</w:t>
      </w:r>
      <w:r w:rsidR="00142433">
        <w:t xml:space="preserve"> to</w:t>
      </w:r>
      <w:r>
        <w:t xml:space="preserve"> improve liquidity, reduce company reliance on outside financing,</w:t>
      </w:r>
      <w:r w:rsidRPr="0008762B">
        <w:t xml:space="preserve"> </w:t>
      </w:r>
      <w:r>
        <w:t xml:space="preserve">and stimulate investment </w:t>
      </w:r>
      <w:r>
        <w:rPr>
          <w:noProof/>
        </w:rPr>
        <w:t>(Masso and Meriküll, 2011)</w:t>
      </w:r>
      <w:r>
        <w:t xml:space="preserve">, although the macroeconomic effects of this regime remain unclear </w:t>
      </w:r>
      <w:r>
        <w:rPr>
          <w:noProof/>
        </w:rPr>
        <w:t>(Staehr, 2014)</w:t>
      </w:r>
      <w:r>
        <w:t>.</w:t>
      </w:r>
    </w:p>
    <w:p w14:paraId="646EB2CC" w14:textId="5F1C0392" w:rsidR="004C105E" w:rsidRDefault="004C105E" w:rsidP="004C105E">
      <w:pPr>
        <w:pStyle w:val="Para0"/>
      </w:pPr>
      <w:r>
        <w:t>Moldova experimented with an</w:t>
      </w:r>
      <w:r w:rsidRPr="00B633E8">
        <w:t xml:space="preserve"> </w:t>
      </w:r>
      <w:r w:rsidRPr="00401678">
        <w:t>Estonian</w:t>
      </w:r>
      <w:r>
        <w:t>-</w:t>
      </w:r>
      <w:r w:rsidRPr="00401678">
        <w:t>inspired</w:t>
      </w:r>
      <w:r w:rsidRPr="00C7698C">
        <w:rPr>
          <w:i/>
        </w:rPr>
        <w:t xml:space="preserve"> </w:t>
      </w:r>
      <w:r>
        <w:t xml:space="preserve">model between 2008 and 2012, whereby the CIT rate was lowered to zero and a 15% withholding tax was charged on distributed profits. While on paper the two models are equivalent, setting the statutory CIT rate to zero created a number of issues in the application of double </w:t>
      </w:r>
      <w:r w:rsidRPr="00B67004">
        <w:t>tax</w:t>
      </w:r>
      <w:r>
        <w:t>ation</w:t>
      </w:r>
      <w:r w:rsidRPr="00B67004">
        <w:t xml:space="preserve"> </w:t>
      </w:r>
      <w:r>
        <w:t xml:space="preserve">relief on remitted earnings, as it could not be granted under existing treaties </w:t>
      </w:r>
      <w:r w:rsidR="00437D2C">
        <w:rPr>
          <w:noProof/>
        </w:rPr>
        <w:t>(Lehis et al.</w:t>
      </w:r>
      <w:r>
        <w:rPr>
          <w:noProof/>
        </w:rPr>
        <w:t>, 2008)</w:t>
      </w:r>
      <w:r>
        <w:t xml:space="preserve">. The fiscal model did not generate substantial increases in FDI, while having a strong negative impact on tax revenue </w:t>
      </w:r>
      <w:r>
        <w:rPr>
          <w:noProof/>
        </w:rPr>
        <w:t>(Piatkowski and Jarmuzek, 2008)</w:t>
      </w:r>
      <w:r>
        <w:t>. As a result, the policy was reversed and the CIT rate raised to 12%. Ukraine is currently discussing adopting a similar system, consisting of a t</w:t>
      </w:r>
      <w:r w:rsidRPr="00E6431D">
        <w:t xml:space="preserve">ax on </w:t>
      </w:r>
      <w:r>
        <w:t>w</w:t>
      </w:r>
      <w:r w:rsidRPr="00E6431D">
        <w:t xml:space="preserve">ithdrawn </w:t>
      </w:r>
      <w:r>
        <w:t>c</w:t>
      </w:r>
      <w:r w:rsidRPr="00E6431D">
        <w:t>apital</w:t>
      </w:r>
      <w:r>
        <w:t xml:space="preserve"> that</w:t>
      </w:r>
      <w:r w:rsidRPr="00E6431D">
        <w:t xml:space="preserve"> </w:t>
      </w:r>
      <w:r>
        <w:t>would</w:t>
      </w:r>
      <w:r w:rsidRPr="00E6431D">
        <w:t xml:space="preserve"> apply to dividends and transfers of a similar nature</w:t>
      </w:r>
      <w:r>
        <w:t>, but, to date, Estonia and Georgia remain the only two countries with a DPT for corporate profits.</w:t>
      </w:r>
    </w:p>
    <w:p w14:paraId="7461F5F8" w14:textId="0F907943" w:rsidR="00BE03AE" w:rsidRDefault="00BE03AE" w:rsidP="00BE03AE">
      <w:pPr>
        <w:pStyle w:val="Caption"/>
      </w:pPr>
      <w:bookmarkStart w:id="109" w:name="_Toc31983254"/>
      <w:bookmarkStart w:id="110" w:name="_Toc33443338"/>
      <w:r>
        <w:t xml:space="preserve">Figure </w:t>
      </w:r>
      <w:fldSimple w:instr=" STYLEREF 1 \s ">
        <w:r w:rsidR="00DC4D16">
          <w:rPr>
            <w:noProof/>
          </w:rPr>
          <w:t>4</w:t>
        </w:r>
      </w:fldSimple>
      <w:r>
        <w:t>.</w:t>
      </w:r>
      <w:r>
        <w:rPr>
          <w:noProof/>
        </w:rPr>
        <w:fldChar w:fldCharType="begin"/>
      </w:r>
      <w:r>
        <w:rPr>
          <w:noProof/>
        </w:rPr>
        <w:instrText xml:space="preserve"> SEQ Figure \* ARABIC \s 1 </w:instrText>
      </w:r>
      <w:r>
        <w:rPr>
          <w:noProof/>
        </w:rPr>
        <w:fldChar w:fldCharType="separate"/>
      </w:r>
      <w:r w:rsidR="00DC4D16">
        <w:rPr>
          <w:noProof/>
        </w:rPr>
        <w:t>1</w:t>
      </w:r>
      <w:r>
        <w:rPr>
          <w:noProof/>
        </w:rPr>
        <w:fldChar w:fldCharType="end"/>
      </w:r>
      <w:r>
        <w:t xml:space="preserve">. </w:t>
      </w:r>
      <w:r w:rsidR="003C004B" w:rsidRPr="00E651A9">
        <w:t xml:space="preserve">Statutory </w:t>
      </w:r>
      <w:r w:rsidR="003C004B">
        <w:t xml:space="preserve">CIT rates in </w:t>
      </w:r>
      <w:r w:rsidR="00CE3899">
        <w:t>EaP</w:t>
      </w:r>
      <w:r w:rsidR="003C004B">
        <w:t xml:space="preserve"> countries</w:t>
      </w:r>
      <w:bookmarkEnd w:id="109"/>
      <w:bookmarkEnd w:id="110"/>
    </w:p>
    <w:p w14:paraId="6907DA6E" w14:textId="1D7BB93A" w:rsidR="00BE03AE" w:rsidRPr="004120DC" w:rsidRDefault="00FC004A" w:rsidP="00BE03AE">
      <w:pPr>
        <w:pStyle w:val="Figure"/>
      </w:pPr>
      <w:r w:rsidRPr="00FC004A">
        <w:rPr>
          <w:noProof/>
          <w:lang w:eastAsia="en-GB"/>
        </w:rPr>
        <w:drawing>
          <wp:inline distT="0" distB="0" distL="0" distR="0" wp14:anchorId="25D62678" wp14:editId="2523C631">
            <wp:extent cx="5040000" cy="252445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40000" cy="2524454"/>
                    </a:xfrm>
                    <a:prstGeom prst="rect">
                      <a:avLst/>
                    </a:prstGeom>
                    <a:noFill/>
                    <a:ln>
                      <a:noFill/>
                    </a:ln>
                  </pic:spPr>
                </pic:pic>
              </a:graphicData>
            </a:graphic>
          </wp:inline>
        </w:drawing>
      </w:r>
    </w:p>
    <w:p w14:paraId="310AE077" w14:textId="50A8DC05" w:rsidR="009F7A5F" w:rsidRDefault="009F7A5F" w:rsidP="009F7A5F">
      <w:pPr>
        <w:pStyle w:val="Sourcenotes"/>
        <w:rPr>
          <w:i/>
        </w:rPr>
      </w:pPr>
      <w:r>
        <w:rPr>
          <w:i/>
        </w:rPr>
        <w:t xml:space="preserve">Note: </w:t>
      </w:r>
      <w:r w:rsidRPr="00963A22">
        <w:t xml:space="preserve">Belarus </w:t>
      </w:r>
      <w:r w:rsidR="00437D2C">
        <w:t>applies</w:t>
      </w:r>
      <w:r w:rsidRPr="00963A22">
        <w:t xml:space="preserve"> a rate of 25% </w:t>
      </w:r>
      <w:r w:rsidR="00236FFB">
        <w:t>on</w:t>
      </w:r>
      <w:r w:rsidR="00C2095B">
        <w:t xml:space="preserve"> banking</w:t>
      </w:r>
      <w:r w:rsidRPr="00963A22">
        <w:t>.</w:t>
      </w:r>
      <w:r>
        <w:t xml:space="preserve"> Georgia</w:t>
      </w:r>
      <w:r w:rsidR="00437D2C">
        <w:t>’s</w:t>
      </w:r>
      <w:r>
        <w:t xml:space="preserve"> </w:t>
      </w:r>
      <w:r w:rsidR="00437D2C">
        <w:t xml:space="preserve">2019 </w:t>
      </w:r>
      <w:r>
        <w:t>r</w:t>
      </w:r>
      <w:r w:rsidR="00437D2C">
        <w:t>ate applies</w:t>
      </w:r>
      <w:r>
        <w:t xml:space="preserve"> to distributed profit</w:t>
      </w:r>
      <w:r w:rsidR="00437D2C">
        <w:t>s</w:t>
      </w:r>
      <w:r>
        <w:t xml:space="preserve">. </w:t>
      </w:r>
    </w:p>
    <w:p w14:paraId="7015CA06" w14:textId="3808E4B6" w:rsidR="004C105E" w:rsidRPr="00454399" w:rsidRDefault="009F7A5F" w:rsidP="00236FFB">
      <w:pPr>
        <w:pStyle w:val="Sourcenotes"/>
      </w:pPr>
      <w:r w:rsidRPr="00454399">
        <w:rPr>
          <w:i/>
        </w:rPr>
        <w:t>Source</w:t>
      </w:r>
      <w:r>
        <w:t xml:space="preserve">: </w:t>
      </w:r>
      <w:r w:rsidRPr="00497FCF">
        <w:t>OECD based on nat</w:t>
      </w:r>
      <w:r>
        <w:t>ional legislation on KPMG (2019</w:t>
      </w:r>
      <w:r w:rsidRPr="001C722F">
        <w:t>), T</w:t>
      </w:r>
      <w:r>
        <w:t>ax Tools &amp; Resources (database)</w:t>
      </w:r>
      <w:r w:rsidRPr="00961F86">
        <w:t>.</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1B335F" w14:paraId="61665267" w14:textId="77777777" w:rsidTr="0035430E">
        <w:trPr>
          <w:jc w:val="center"/>
        </w:trPr>
        <w:tc>
          <w:tcPr>
            <w:tcW w:w="9309" w:type="dxa"/>
            <w:shd w:val="clear" w:color="auto" w:fill="E1E6EB"/>
          </w:tcPr>
          <w:p w14:paraId="46492D63" w14:textId="184C44B0" w:rsidR="001B335F" w:rsidRDefault="001B335F" w:rsidP="001B335F">
            <w:pPr>
              <w:pStyle w:val="Caption"/>
              <w:keepLines/>
            </w:pPr>
            <w:bookmarkStart w:id="111" w:name="_Toc31983230"/>
            <w:bookmarkStart w:id="112" w:name="_Toc33443347"/>
            <w:r>
              <w:lastRenderedPageBreak/>
              <w:t xml:space="preserve">Box </w:t>
            </w:r>
            <w:fldSimple w:instr=" STYLEREF 1 \s ">
              <w:r w:rsidR="00DC4D16">
                <w:rPr>
                  <w:noProof/>
                </w:rPr>
                <w:t>4</w:t>
              </w:r>
            </w:fldSimple>
            <w:r>
              <w:t>.</w:t>
            </w:r>
            <w:r>
              <w:rPr>
                <w:noProof/>
              </w:rPr>
              <w:fldChar w:fldCharType="begin"/>
            </w:r>
            <w:r>
              <w:rPr>
                <w:noProof/>
              </w:rPr>
              <w:instrText xml:space="preserve"> SEQ Box \* ARABIC \s 1 </w:instrText>
            </w:r>
            <w:r>
              <w:rPr>
                <w:noProof/>
              </w:rPr>
              <w:fldChar w:fldCharType="separate"/>
            </w:r>
            <w:r w:rsidR="00DC4D16">
              <w:rPr>
                <w:noProof/>
              </w:rPr>
              <w:t>2</w:t>
            </w:r>
            <w:r>
              <w:rPr>
                <w:noProof/>
              </w:rPr>
              <w:fldChar w:fldCharType="end"/>
            </w:r>
            <w:r>
              <w:t xml:space="preserve">. A brief history of corporate taxes in </w:t>
            </w:r>
            <w:r w:rsidR="00CE3899">
              <w:t>EaP</w:t>
            </w:r>
            <w:r>
              <w:t xml:space="preserve"> countries</w:t>
            </w:r>
            <w:bookmarkEnd w:id="111"/>
            <w:bookmarkEnd w:id="112"/>
          </w:p>
          <w:p w14:paraId="005F128C" w14:textId="1644C30C" w:rsidR="001B335F" w:rsidRPr="00A24036" w:rsidRDefault="001B335F" w:rsidP="001B335F">
            <w:pPr>
              <w:pStyle w:val="Para0"/>
              <w:keepNext/>
              <w:keepLines/>
              <w:rPr>
                <w:sz w:val="20"/>
              </w:rPr>
            </w:pPr>
            <w:r w:rsidRPr="00A24036">
              <w:rPr>
                <w:sz w:val="20"/>
              </w:rPr>
              <w:t xml:space="preserve">The six </w:t>
            </w:r>
            <w:r w:rsidR="00CE3899">
              <w:rPr>
                <w:sz w:val="20"/>
              </w:rPr>
              <w:t xml:space="preserve">EaP </w:t>
            </w:r>
            <w:r w:rsidRPr="00A24036">
              <w:rPr>
                <w:sz w:val="20"/>
              </w:rPr>
              <w:t xml:space="preserve">countries underwent major changes to their tax systems in their transition from centrally planned to market economies during the 1990s. Corporate income (i.e. profit) was typically the most important source of public revenues, and taxed at high rates. Idiosyncrasies in the calculation of profits (e.g. wages were treated as profit payments rather than expenses) generally resulted in an overestimation of profits compared to market-based taxation models </w:t>
            </w:r>
            <w:r w:rsidR="005B6046" w:rsidRPr="0091662F">
              <w:rPr>
                <w:noProof/>
                <w:sz w:val="20"/>
              </w:rPr>
              <w:t>(Martinez-Vazquez</w:t>
            </w:r>
            <w:r w:rsidR="00CF5954">
              <w:rPr>
                <w:noProof/>
                <w:sz w:val="20"/>
              </w:rPr>
              <w:t xml:space="preserve"> and </w:t>
            </w:r>
            <w:r w:rsidR="005B6046" w:rsidRPr="0091662F">
              <w:rPr>
                <w:noProof/>
                <w:sz w:val="20"/>
              </w:rPr>
              <w:t>McNab, 2000)</w:t>
            </w:r>
            <w:r w:rsidRPr="00A24036">
              <w:rPr>
                <w:sz w:val="20"/>
              </w:rPr>
              <w:t xml:space="preserve">. Modernising the system required a complete overhaul of the existing tax and revenue structure for many transition economies </w:t>
            </w:r>
            <w:r w:rsidR="005B6046" w:rsidRPr="0091662F">
              <w:rPr>
                <w:noProof/>
                <w:sz w:val="20"/>
              </w:rPr>
              <w:t>(Criclivaia, 2015)</w:t>
            </w:r>
            <w:r w:rsidRPr="00A24036">
              <w:rPr>
                <w:sz w:val="20"/>
              </w:rPr>
              <w:t>.</w:t>
            </w:r>
          </w:p>
          <w:p w14:paraId="5A5747B2" w14:textId="74A2A330" w:rsidR="001B335F" w:rsidRPr="00270361" w:rsidRDefault="001B335F">
            <w:pPr>
              <w:pStyle w:val="Para0"/>
              <w:keepNext/>
              <w:keepLines/>
              <w:rPr>
                <w:sz w:val="20"/>
              </w:rPr>
            </w:pPr>
            <w:r w:rsidRPr="00A24036">
              <w:rPr>
                <w:sz w:val="20"/>
              </w:rPr>
              <w:t xml:space="preserve">Lowering profit tax rates and aligning legislation to international standards was a challenge shared by </w:t>
            </w:r>
            <w:r w:rsidR="00CE3899">
              <w:rPr>
                <w:sz w:val="20"/>
              </w:rPr>
              <w:t>EaP</w:t>
            </w:r>
            <w:r w:rsidRPr="00A24036">
              <w:rPr>
                <w:sz w:val="20"/>
              </w:rPr>
              <w:t xml:space="preserve"> countries. The transition to lower CIT rates occurred gradually during the 1990s and early 2000s as countries shifted towards a different mix of tax revenues with a lower relative importance of revenues from business taxation </w:t>
            </w:r>
            <w:r w:rsidR="005B6046" w:rsidRPr="0091662F">
              <w:rPr>
                <w:noProof/>
                <w:sz w:val="20"/>
              </w:rPr>
              <w:t>(Barbone</w:t>
            </w:r>
            <w:r w:rsidR="00CF5954">
              <w:rPr>
                <w:noProof/>
                <w:sz w:val="20"/>
              </w:rPr>
              <w:t xml:space="preserve"> and </w:t>
            </w:r>
            <w:r w:rsidR="005B6046" w:rsidRPr="0091662F">
              <w:rPr>
                <w:noProof/>
                <w:sz w:val="20"/>
              </w:rPr>
              <w:t>Sanchez, 2003)</w:t>
            </w:r>
            <w:r w:rsidRPr="00A24036">
              <w:rPr>
                <w:sz w:val="20"/>
              </w:rPr>
              <w:t xml:space="preserve">. Competition among newly opened markets to attract foreign investments was intense. To maintain the competitiveness of traditional industries and encourage new investments, transition countries made extensive use of fiscal and financial incentives </w:t>
            </w:r>
            <w:r w:rsidR="005B6046" w:rsidRPr="0091662F">
              <w:rPr>
                <w:noProof/>
                <w:sz w:val="20"/>
              </w:rPr>
              <w:t>(Cass, 2007)</w:t>
            </w:r>
            <w:r w:rsidRPr="00A24036">
              <w:rPr>
                <w:sz w:val="20"/>
              </w:rPr>
              <w:t xml:space="preserve">. In many cases, incentives were negotiated and granted at the discretion of the economic authorities </w:t>
            </w:r>
            <w:r w:rsidR="005B6046" w:rsidRPr="0091662F">
              <w:rPr>
                <w:noProof/>
                <w:sz w:val="20"/>
              </w:rPr>
              <w:t>(Barbone</w:t>
            </w:r>
            <w:r w:rsidR="00CF5954">
              <w:rPr>
                <w:noProof/>
                <w:sz w:val="20"/>
              </w:rPr>
              <w:t xml:space="preserve"> and </w:t>
            </w:r>
            <w:r w:rsidR="005B6046" w:rsidRPr="0091662F">
              <w:rPr>
                <w:noProof/>
                <w:sz w:val="20"/>
              </w:rPr>
              <w:t>Sanchez, 2003)</w:t>
            </w:r>
            <w:r w:rsidRPr="00A24036">
              <w:rPr>
                <w:sz w:val="20"/>
              </w:rPr>
              <w:t xml:space="preserve">. Since the early 2000, the level of incentives offered showed signs of </w:t>
            </w:r>
            <w:r w:rsidR="00FD6A4E" w:rsidRPr="00A24036">
              <w:rPr>
                <w:sz w:val="20"/>
              </w:rPr>
              <w:t>stabili</w:t>
            </w:r>
            <w:r w:rsidR="00FD6A4E">
              <w:rPr>
                <w:sz w:val="20"/>
              </w:rPr>
              <w:t>s</w:t>
            </w:r>
            <w:r w:rsidR="00FD6A4E" w:rsidRPr="00A24036">
              <w:rPr>
                <w:sz w:val="20"/>
              </w:rPr>
              <w:t xml:space="preserve">ing </w:t>
            </w:r>
            <w:r w:rsidRPr="00A24036">
              <w:rPr>
                <w:sz w:val="20"/>
              </w:rPr>
              <w:t xml:space="preserve">and eventually declined by the early 2010s, as CIT rates in the region reached generally low levels </w:t>
            </w:r>
            <w:r w:rsidR="005B6046" w:rsidRPr="0091662F">
              <w:rPr>
                <w:noProof/>
                <w:sz w:val="20"/>
              </w:rPr>
              <w:t>(Cass, 2007)</w:t>
            </w:r>
            <w:r w:rsidRPr="00A24036">
              <w:rPr>
                <w:sz w:val="20"/>
              </w:rPr>
              <w:t>. In part, tax competition for investment attraction shifted from ad hoc tax incentives and subsidies to universally applied lower statutory rates. Deteriorating fiscal deficits may have played a role in rolling back tax breaks for some countries in the region.</w:t>
            </w:r>
          </w:p>
        </w:tc>
      </w:tr>
    </w:tbl>
    <w:p w14:paraId="2725FF79" w14:textId="550C190F" w:rsidR="00C83503" w:rsidRDefault="00C83503" w:rsidP="00C83503">
      <w:pPr>
        <w:pStyle w:val="Title3"/>
      </w:pPr>
      <w:r>
        <w:t>Tax administration is increasingly simple and efficient</w:t>
      </w:r>
    </w:p>
    <w:p w14:paraId="77C68BB0" w14:textId="777689C1" w:rsidR="00C83503" w:rsidRDefault="00C83503" w:rsidP="00C83503">
      <w:pPr>
        <w:pStyle w:val="Para0"/>
      </w:pPr>
      <w:r>
        <w:t>A</w:t>
      </w:r>
      <w:r w:rsidRPr="003A5A13">
        <w:t xml:space="preserve">n efficient tax administration </w:t>
      </w:r>
      <w:r w:rsidR="0099254E">
        <w:t xml:space="preserve">reduces the costs associated with paying taxes, which </w:t>
      </w:r>
      <w:r w:rsidRPr="003A5A13">
        <w:t>can</w:t>
      </w:r>
      <w:r w:rsidR="0099254E">
        <w:t xml:space="preserve"> in turn</w:t>
      </w:r>
      <w:r w:rsidRPr="003A5A13">
        <w:t xml:space="preserve"> positively contribute to improving</w:t>
      </w:r>
      <w:r>
        <w:t xml:space="preserve"> the</w:t>
      </w:r>
      <w:r w:rsidRPr="003A5A13">
        <w:t xml:space="preserve"> business environment </w:t>
      </w:r>
      <w:r w:rsidR="0099254E">
        <w:t xml:space="preserve">and </w:t>
      </w:r>
      <w:r w:rsidRPr="003A5A13">
        <w:t>attracting new investments</w:t>
      </w:r>
      <w:r w:rsidR="005A01DC">
        <w:t>, regardless of the level of taxes</w:t>
      </w:r>
      <w:r w:rsidR="007B1EB7">
        <w:t xml:space="preserve"> </w:t>
      </w:r>
      <w:r w:rsidR="005B6046">
        <w:rPr>
          <w:noProof/>
        </w:rPr>
        <w:t>(Braunerhjelm</w:t>
      </w:r>
      <w:r w:rsidR="00CF5954">
        <w:rPr>
          <w:noProof/>
        </w:rPr>
        <w:t xml:space="preserve"> and </w:t>
      </w:r>
      <w:r w:rsidR="005B6046">
        <w:rPr>
          <w:noProof/>
        </w:rPr>
        <w:t>Eklund, 2014)</w:t>
      </w:r>
      <w:r>
        <w:t>.</w:t>
      </w:r>
      <w:r w:rsidR="005A01DC">
        <w:t xml:space="preserve"> Limited tax administration capacity has</w:t>
      </w:r>
      <w:r>
        <w:t xml:space="preserve"> been </w:t>
      </w:r>
      <w:r w:rsidR="005A01DC">
        <w:t xml:space="preserve">raised as </w:t>
      </w:r>
      <w:r>
        <w:t xml:space="preserve">one </w:t>
      </w:r>
      <w:r w:rsidR="005A01DC">
        <w:t xml:space="preserve">of the </w:t>
      </w:r>
      <w:r>
        <w:t xml:space="preserve">most significant </w:t>
      </w:r>
      <w:r w:rsidR="005A01DC">
        <w:t>challenges among the</w:t>
      </w:r>
      <w:r>
        <w:t xml:space="preserve"> troubling legacies </w:t>
      </w:r>
      <w:r w:rsidR="005A01DC">
        <w:t>of</w:t>
      </w:r>
      <w:r>
        <w:t xml:space="preserve"> </w:t>
      </w:r>
      <w:r w:rsidR="00B72C11">
        <w:t>centrally planned economies</w:t>
      </w:r>
      <w:r>
        <w:t xml:space="preserve"> </w:t>
      </w:r>
      <w:r w:rsidR="005B6046">
        <w:rPr>
          <w:noProof/>
        </w:rPr>
        <w:t>(Martinez-Vazquez</w:t>
      </w:r>
      <w:r w:rsidR="00CF5954">
        <w:rPr>
          <w:noProof/>
        </w:rPr>
        <w:t xml:space="preserve"> and </w:t>
      </w:r>
      <w:r w:rsidR="005B6046">
        <w:rPr>
          <w:noProof/>
        </w:rPr>
        <w:t>McNab, 2000)</w:t>
      </w:r>
      <w:r>
        <w:t>.</w:t>
      </w:r>
      <w:r w:rsidR="005A01DC">
        <w:t xml:space="preserve"> The </w:t>
      </w:r>
      <w:r w:rsidR="00CE3899">
        <w:t>EaP</w:t>
      </w:r>
      <w:r w:rsidR="005A01DC">
        <w:t xml:space="preserve"> countries experienced </w:t>
      </w:r>
      <w:r w:rsidR="00B72C11">
        <w:t>vast</w:t>
      </w:r>
      <w:r>
        <w:t xml:space="preserve"> improvements </w:t>
      </w:r>
      <w:r w:rsidR="005A01DC">
        <w:t>in</w:t>
      </w:r>
      <w:r>
        <w:t xml:space="preserve"> tax administration, including the </w:t>
      </w:r>
      <w:r w:rsidRPr="003A5A13">
        <w:t>simplification and increase</w:t>
      </w:r>
      <w:r>
        <w:t>d transparency of the tax system.</w:t>
      </w:r>
    </w:p>
    <w:p w14:paraId="16E9CAC3" w14:textId="77B1002B" w:rsidR="00C83503" w:rsidRDefault="00A26BE8" w:rsidP="00C83503">
      <w:pPr>
        <w:pStyle w:val="Para0"/>
      </w:pPr>
      <w:r>
        <w:t>The number of tax</w:t>
      </w:r>
      <w:r w:rsidR="00C83503">
        <w:t xml:space="preserve"> </w:t>
      </w:r>
      <w:r>
        <w:t xml:space="preserve">payments </w:t>
      </w:r>
      <w:r w:rsidR="00C83503">
        <w:t xml:space="preserve">businesses </w:t>
      </w:r>
      <w:r>
        <w:t xml:space="preserve">make per year </w:t>
      </w:r>
      <w:r w:rsidR="008134EA">
        <w:t>fell</w:t>
      </w:r>
      <w:r w:rsidR="00C83503">
        <w:t xml:space="preserve"> sharply</w:t>
      </w:r>
      <w:r w:rsidR="008134EA">
        <w:t xml:space="preserve"> over the last decade</w:t>
      </w:r>
      <w:r w:rsidR="00C83503">
        <w:t xml:space="preserve">. In 2010, businesses of </w:t>
      </w:r>
      <w:r w:rsidR="00CE3899">
        <w:t>EaP</w:t>
      </w:r>
      <w:r w:rsidR="00C83503">
        <w:t xml:space="preserve"> countries had to make on average 68 different tax payments per year</w:t>
      </w:r>
      <w:r>
        <w:t xml:space="preserve">, and </w:t>
      </w:r>
      <w:r w:rsidR="00021980">
        <w:t>over twice as many in Ukraine</w:t>
      </w:r>
      <w:r w:rsidR="00C83503">
        <w:t xml:space="preserve"> (</w:t>
      </w:r>
      <w:r w:rsidR="00B72C11">
        <w:t xml:space="preserve">Figure </w:t>
      </w:r>
      <w:r w:rsidR="00FF3E9A">
        <w:t xml:space="preserve">4.2, Panel </w:t>
      </w:r>
      <w:r w:rsidR="00C83503">
        <w:t xml:space="preserve">A). </w:t>
      </w:r>
      <w:r w:rsidR="008134EA">
        <w:t>In 2019</w:t>
      </w:r>
      <w:r w:rsidR="00021980">
        <w:t xml:space="preserve"> the number of tax payments fell by over 70% in all countries to a maximum of 14 payments in Armenia and only five in Georgia and Ukraine.</w:t>
      </w:r>
      <w:r w:rsidR="002D4A83">
        <w:t xml:space="preserve"> </w:t>
      </w:r>
      <w:r w:rsidR="008134EA">
        <w:t>Similarly, t</w:t>
      </w:r>
      <w:r w:rsidR="00C83503">
        <w:t>he number of hours spent by business preparing, f</w:t>
      </w:r>
      <w:r w:rsidR="008134EA">
        <w:t xml:space="preserve">iling and paying for taxes more than halved in most countries, </w:t>
      </w:r>
      <w:r w:rsidR="002D4A83">
        <w:t xml:space="preserve">from an average of 534 to 222 </w:t>
      </w:r>
      <w:r w:rsidR="00C83503">
        <w:t>(</w:t>
      </w:r>
      <w:r w:rsidR="009B35C6">
        <w:t>Figure 4.2, Panel B</w:t>
      </w:r>
      <w:r w:rsidR="00437D2C">
        <w:t>).</w:t>
      </w:r>
    </w:p>
    <w:p w14:paraId="620150B9" w14:textId="2EEED73F" w:rsidR="00437D2C" w:rsidRDefault="00437D2C" w:rsidP="00437D2C">
      <w:pPr>
        <w:pStyle w:val="Para0"/>
      </w:pPr>
      <w:r>
        <w:t>Reducing the number of tax payments alone is insufficient in improving the ease of paying taxes. For instance, while businesses in Ukraine report the lowest number of tax payments in the region (5), they also report spending the most time filing taxes (327 hours). When both aspects are taken into account, wide differences among countries in the region emerge, despite all having made considerable improvements over the past decade. According to the World Bank’s ease of paying taxes ranking, Georgia, Azerbaijan and Moldova rank highly (16</w:t>
      </w:r>
      <w:r w:rsidRPr="00592558">
        <w:rPr>
          <w:vertAlign w:val="superscript"/>
        </w:rPr>
        <w:t>th</w:t>
      </w:r>
      <w:r>
        <w:t>, 28</w:t>
      </w:r>
      <w:r w:rsidRPr="00592558">
        <w:rPr>
          <w:vertAlign w:val="superscript"/>
        </w:rPr>
        <w:t>th</w:t>
      </w:r>
      <w:r>
        <w:t xml:space="preserve"> and 35</w:t>
      </w:r>
      <w:r w:rsidRPr="00592558">
        <w:rPr>
          <w:vertAlign w:val="superscript"/>
        </w:rPr>
        <w:t>th</w:t>
      </w:r>
      <w:r>
        <w:t>, respectively), Ukraine has an intermediate ranking (54</w:t>
      </w:r>
      <w:r w:rsidRPr="0060251C">
        <w:rPr>
          <w:vertAlign w:val="superscript"/>
        </w:rPr>
        <w:t>th</w:t>
      </w:r>
      <w:r>
        <w:t>), while Armenia (82</w:t>
      </w:r>
      <w:r w:rsidRPr="00592558">
        <w:rPr>
          <w:vertAlign w:val="superscript"/>
        </w:rPr>
        <w:t>th</w:t>
      </w:r>
      <w:r>
        <w:t>) and Belarus (99</w:t>
      </w:r>
      <w:r w:rsidRPr="00592558">
        <w:rPr>
          <w:vertAlign w:val="superscript"/>
        </w:rPr>
        <w:t>th</w:t>
      </w:r>
      <w:r>
        <w:t>) are somewhat behind compared to the rest of the region. In the latter countries, further progress in simplifying the procedures for filing taxes is necessary to alleviate the burden of tax administration on business.</w:t>
      </w:r>
    </w:p>
    <w:p w14:paraId="239DA1DD" w14:textId="4314EBA8" w:rsidR="00B72C11" w:rsidRDefault="00B72C11" w:rsidP="0035430E">
      <w:pPr>
        <w:pStyle w:val="Caption"/>
      </w:pPr>
      <w:bookmarkStart w:id="113" w:name="_Toc31983255"/>
      <w:bookmarkStart w:id="114" w:name="_Toc33443339"/>
      <w:r>
        <w:lastRenderedPageBreak/>
        <w:t xml:space="preserve">Figure </w:t>
      </w:r>
      <w:fldSimple w:instr=" STYLEREF 1 \s ">
        <w:r w:rsidR="00DC4D16">
          <w:rPr>
            <w:noProof/>
          </w:rPr>
          <w:t>4</w:t>
        </w:r>
      </w:fldSimple>
      <w:r>
        <w:t>.</w:t>
      </w:r>
      <w:r>
        <w:rPr>
          <w:noProof/>
        </w:rPr>
        <w:fldChar w:fldCharType="begin"/>
      </w:r>
      <w:r>
        <w:rPr>
          <w:noProof/>
        </w:rPr>
        <w:instrText xml:space="preserve"> SEQ Figure \* ARABIC \s 1 </w:instrText>
      </w:r>
      <w:r>
        <w:rPr>
          <w:noProof/>
        </w:rPr>
        <w:fldChar w:fldCharType="separate"/>
      </w:r>
      <w:r w:rsidR="00DC4D16">
        <w:rPr>
          <w:noProof/>
        </w:rPr>
        <w:t>2</w:t>
      </w:r>
      <w:r>
        <w:rPr>
          <w:noProof/>
        </w:rPr>
        <w:fldChar w:fldCharType="end"/>
      </w:r>
      <w:r>
        <w:t xml:space="preserve">. Ease of paying taxes in </w:t>
      </w:r>
      <w:r w:rsidR="00CE3899">
        <w:t>EaP</w:t>
      </w:r>
      <w:r>
        <w:t xml:space="preserve"> </w:t>
      </w:r>
      <w:r w:rsidR="002440BC">
        <w:t>countries</w:t>
      </w:r>
      <w:bookmarkEnd w:id="113"/>
      <w:bookmarkEnd w:id="114"/>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0"/>
        <w:gridCol w:w="3948"/>
      </w:tblGrid>
      <w:tr w:rsidR="00C83503" w14:paraId="280FB7AD" w14:textId="77777777" w:rsidTr="00B72C11">
        <w:trPr>
          <w:jc w:val="center"/>
        </w:trPr>
        <w:tc>
          <w:tcPr>
            <w:tcW w:w="3990" w:type="dxa"/>
          </w:tcPr>
          <w:p w14:paraId="3CF272ED" w14:textId="5168999B" w:rsidR="00C83503" w:rsidRDefault="00C83503" w:rsidP="00BC64A3">
            <w:pPr>
              <w:pStyle w:val="CaptionSubtitle"/>
              <w:spacing w:after="0"/>
              <w:ind w:left="0" w:right="0"/>
              <w:rPr>
                <w:noProof/>
                <w:lang w:eastAsia="en-GB"/>
              </w:rPr>
            </w:pPr>
            <w:r w:rsidRPr="00BF5151">
              <w:rPr>
                <w:noProof/>
                <w:lang w:eastAsia="en-GB"/>
              </w:rPr>
              <w:t xml:space="preserve">A. Number of tax payments </w:t>
            </w:r>
            <w:r w:rsidR="00E83B2D">
              <w:rPr>
                <w:noProof/>
                <w:lang w:eastAsia="en-GB"/>
              </w:rPr>
              <w:t>per year</w:t>
            </w:r>
          </w:p>
        </w:tc>
        <w:tc>
          <w:tcPr>
            <w:tcW w:w="3948" w:type="dxa"/>
          </w:tcPr>
          <w:p w14:paraId="117747F2" w14:textId="72E93683" w:rsidR="00C83503" w:rsidRDefault="00C83503" w:rsidP="00BC64A3">
            <w:pPr>
              <w:pStyle w:val="CaptionSubtitle"/>
              <w:spacing w:after="0"/>
              <w:ind w:left="0" w:right="0"/>
              <w:rPr>
                <w:noProof/>
                <w:lang w:eastAsia="en-GB"/>
              </w:rPr>
            </w:pPr>
            <w:r>
              <w:rPr>
                <w:noProof/>
                <w:lang w:eastAsia="en-GB"/>
              </w:rPr>
              <w:t>B. Hours spent paying taxes per year</w:t>
            </w:r>
          </w:p>
        </w:tc>
      </w:tr>
      <w:tr w:rsidR="00C83503" w14:paraId="7F255AB4" w14:textId="77777777" w:rsidTr="00B72C11">
        <w:trPr>
          <w:jc w:val="center"/>
        </w:trPr>
        <w:tc>
          <w:tcPr>
            <w:tcW w:w="3990" w:type="dxa"/>
          </w:tcPr>
          <w:p w14:paraId="7E063A7D" w14:textId="6FFAC378" w:rsidR="00C83503" w:rsidRDefault="00E83B2D" w:rsidP="00E83B2D">
            <w:pPr>
              <w:pStyle w:val="Para0"/>
              <w:ind w:left="0"/>
              <w:jc w:val="center"/>
            </w:pPr>
            <w:r w:rsidRPr="00E83B2D">
              <w:rPr>
                <w:noProof/>
                <w:lang w:eastAsia="en-GB"/>
              </w:rPr>
              <w:drawing>
                <wp:inline distT="0" distB="0" distL="0" distR="0" wp14:anchorId="2CEE9491" wp14:editId="12EE3041">
                  <wp:extent cx="2376000" cy="22508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76000" cy="2250815"/>
                          </a:xfrm>
                          <a:prstGeom prst="rect">
                            <a:avLst/>
                          </a:prstGeom>
                          <a:noFill/>
                          <a:ln>
                            <a:noFill/>
                          </a:ln>
                        </pic:spPr>
                      </pic:pic>
                    </a:graphicData>
                  </a:graphic>
                </wp:inline>
              </w:drawing>
            </w:r>
          </w:p>
        </w:tc>
        <w:tc>
          <w:tcPr>
            <w:tcW w:w="3948" w:type="dxa"/>
          </w:tcPr>
          <w:p w14:paraId="4FFEDB06" w14:textId="25862D4F" w:rsidR="00C83503" w:rsidRDefault="00E83B2D" w:rsidP="00E83B2D">
            <w:pPr>
              <w:pStyle w:val="Para0"/>
              <w:ind w:left="0"/>
              <w:jc w:val="center"/>
            </w:pPr>
            <w:r w:rsidRPr="00E83B2D">
              <w:rPr>
                <w:noProof/>
                <w:lang w:eastAsia="en-GB"/>
              </w:rPr>
              <w:drawing>
                <wp:inline distT="0" distB="0" distL="0" distR="0" wp14:anchorId="4016C14F" wp14:editId="64689EC8">
                  <wp:extent cx="2376000" cy="224933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76000" cy="2249339"/>
                          </a:xfrm>
                          <a:prstGeom prst="rect">
                            <a:avLst/>
                          </a:prstGeom>
                          <a:noFill/>
                          <a:ln>
                            <a:noFill/>
                          </a:ln>
                        </pic:spPr>
                      </pic:pic>
                    </a:graphicData>
                  </a:graphic>
                </wp:inline>
              </w:drawing>
            </w:r>
          </w:p>
        </w:tc>
      </w:tr>
    </w:tbl>
    <w:p w14:paraId="5715B050" w14:textId="77777777" w:rsidR="00C83503" w:rsidRDefault="00C83503" w:rsidP="00C83503">
      <w:pPr>
        <w:pStyle w:val="Sourcenotes"/>
      </w:pPr>
      <w:r w:rsidRPr="00773C3F">
        <w:rPr>
          <w:i/>
        </w:rPr>
        <w:t>Source</w:t>
      </w:r>
      <w:r>
        <w:t>: World Bank’s Doing Business Score, Paying Taxes Component 2010-2019.</w:t>
      </w:r>
    </w:p>
    <w:p w14:paraId="7619CFE4" w14:textId="77777777" w:rsidR="00C83503" w:rsidRDefault="00C83503" w:rsidP="00C83503">
      <w:pPr>
        <w:pStyle w:val="Sourcenotes"/>
      </w:pPr>
      <w:r w:rsidRPr="00773C3F">
        <w:rPr>
          <w:i/>
        </w:rPr>
        <w:t>Note</w:t>
      </w:r>
      <w:r>
        <w:t xml:space="preserve">: </w:t>
      </w:r>
      <w:r w:rsidRPr="00773C3F">
        <w:t>Doing Business</w:t>
      </w:r>
      <w:r>
        <w:t xml:space="preserve"> measures compliance costs as time to prepare, file and pay -or withhold- three major types of taxes: the corporate income tax, value added or sales tax and labour taxes, including payroll taxes, and social security contributions for a medium-size company.</w:t>
      </w:r>
    </w:p>
    <w:p w14:paraId="3244E647" w14:textId="725701D5" w:rsidR="00C83503" w:rsidRDefault="00992A54" w:rsidP="00C83503">
      <w:pPr>
        <w:pStyle w:val="Title2"/>
        <w:rPr>
          <w:rFonts w:hint="eastAsia"/>
        </w:rPr>
      </w:pPr>
      <w:bookmarkStart w:id="115" w:name="_Toc31228356"/>
      <w:bookmarkStart w:id="116" w:name="_Toc31983292"/>
      <w:bookmarkStart w:id="117" w:name="_Toc33443303"/>
      <w:r>
        <w:t>I</w:t>
      </w:r>
      <w:r w:rsidR="00C83503" w:rsidRPr="00334E8D">
        <w:t xml:space="preserve">ncentives </w:t>
      </w:r>
      <w:r>
        <w:t xml:space="preserve">offered by EaP countries </w:t>
      </w:r>
      <w:r w:rsidR="00CB79EE">
        <w:t xml:space="preserve">are targeted but </w:t>
      </w:r>
      <w:r w:rsidR="009C23CD">
        <w:t>costly</w:t>
      </w:r>
      <w:bookmarkEnd w:id="115"/>
      <w:bookmarkEnd w:id="116"/>
      <w:bookmarkEnd w:id="117"/>
    </w:p>
    <w:p w14:paraId="1842EE30" w14:textId="383F5C27" w:rsidR="00C83503" w:rsidRDefault="00C83503" w:rsidP="00C83503">
      <w:pPr>
        <w:pStyle w:val="Para0"/>
      </w:pPr>
      <w:r>
        <w:t xml:space="preserve">Tax incentives are a </w:t>
      </w:r>
      <w:r w:rsidR="006C5333">
        <w:t>widely</w:t>
      </w:r>
      <w:r>
        <w:t xml:space="preserve"> used </w:t>
      </w:r>
      <w:r w:rsidR="006C5333">
        <w:t xml:space="preserve">tool </w:t>
      </w:r>
      <w:r>
        <w:t xml:space="preserve">to </w:t>
      </w:r>
      <w:r w:rsidR="009D77EB">
        <w:t>promote</w:t>
      </w:r>
      <w:r>
        <w:t xml:space="preserve"> investment, particularly </w:t>
      </w:r>
      <w:r w:rsidR="00633C73">
        <w:t xml:space="preserve">foreign direct investment (FDI), </w:t>
      </w:r>
      <w:r w:rsidR="006C5333">
        <w:t>in</w:t>
      </w:r>
      <w:r w:rsidR="00633C73">
        <w:t xml:space="preserve"> developed and </w:t>
      </w:r>
      <w:r>
        <w:t xml:space="preserve">developing </w:t>
      </w:r>
      <w:r w:rsidR="006C5333">
        <w:t>economies</w:t>
      </w:r>
      <w:r>
        <w:t>. Different instruments present advantages</w:t>
      </w:r>
      <w:r w:rsidR="003716BB">
        <w:t xml:space="preserve"> and disadvantages </w:t>
      </w:r>
      <w:r w:rsidR="00C0275D">
        <w:t>beyond forgone public revenue, related to</w:t>
      </w:r>
      <w:r w:rsidR="003716BB">
        <w:t xml:space="preserve"> their </w:t>
      </w:r>
      <w:r w:rsidR="005D3918">
        <w:t>resource allocation costs</w:t>
      </w:r>
      <w:r w:rsidR="00AF6A41">
        <w:t xml:space="preserve">, </w:t>
      </w:r>
      <w:r w:rsidR="003716BB">
        <w:t xml:space="preserve">administration </w:t>
      </w:r>
      <w:r w:rsidR="005D3918">
        <w:t xml:space="preserve">costs, </w:t>
      </w:r>
      <w:r>
        <w:t xml:space="preserve">and effectiveness in promoting </w:t>
      </w:r>
      <w:r w:rsidR="00651209">
        <w:t xml:space="preserve">desired </w:t>
      </w:r>
      <w:r>
        <w:t>investment.</w:t>
      </w:r>
      <w:r w:rsidR="003716BB">
        <w:t xml:space="preserve"> They </w:t>
      </w:r>
      <w:r w:rsidR="00AF6A41">
        <w:t>can be</w:t>
      </w:r>
      <w:r w:rsidR="003716BB">
        <w:t xml:space="preserve"> grouped along several dimensions</w:t>
      </w:r>
      <w:r w:rsidR="00C0275D">
        <w:t xml:space="preserve"> that relate to</w:t>
      </w:r>
      <w:r w:rsidR="003716BB">
        <w:t xml:space="preserve"> </w:t>
      </w:r>
      <w:r w:rsidR="00AF6A41">
        <w:t>their scope</w:t>
      </w:r>
      <w:r w:rsidR="005D3918">
        <w:t>, or eligibility requirements,</w:t>
      </w:r>
      <w:r w:rsidR="00AF6A41">
        <w:t xml:space="preserve"> and </w:t>
      </w:r>
      <w:r w:rsidR="003716BB">
        <w:t>how they affect a company’</w:t>
      </w:r>
      <w:r w:rsidR="00AF6A41">
        <w:t xml:space="preserve">s income statement </w:t>
      </w:r>
      <w:r w:rsidR="003716BB">
        <w:t xml:space="preserve">(Table 4.1) </w:t>
      </w:r>
    </w:p>
    <w:p w14:paraId="297B9587" w14:textId="5C58217B" w:rsidR="006C5333" w:rsidRPr="00171F09" w:rsidRDefault="00835A77" w:rsidP="00B245DA">
      <w:pPr>
        <w:pStyle w:val="Para0"/>
      </w:pPr>
      <w:r>
        <w:t>A first distinction is between</w:t>
      </w:r>
      <w:r w:rsidR="00C83503" w:rsidRPr="0055054D">
        <w:t xml:space="preserve"> profit- and cost-based incentives</w:t>
      </w:r>
      <w:r w:rsidR="00FC144A">
        <w:t xml:space="preserve"> and a</w:t>
      </w:r>
      <w:r w:rsidR="00223E0D">
        <w:t>pplies to corporate income tax</w:t>
      </w:r>
      <w:r w:rsidR="00E01BA7">
        <w:t xml:space="preserve"> (CIT)</w:t>
      </w:r>
      <w:r w:rsidR="00C83503" w:rsidRPr="0055054D">
        <w:t>. Profit-based incentives are determined as a percentage of profit</w:t>
      </w:r>
      <w:r w:rsidR="00CF2A64">
        <w:t xml:space="preserve">s </w:t>
      </w:r>
      <w:r w:rsidR="00E01BA7">
        <w:t>(</w:t>
      </w:r>
      <w:r w:rsidR="00CF2A64">
        <w:t xml:space="preserve">or </w:t>
      </w:r>
      <w:r w:rsidR="00CF2A64" w:rsidRPr="00CF2A64">
        <w:t>income</w:t>
      </w:r>
      <w:r w:rsidR="00E01BA7">
        <w:t>)</w:t>
      </w:r>
      <w:r w:rsidR="00CF2A64" w:rsidRPr="00CF2A64">
        <w:t xml:space="preserve"> already secured</w:t>
      </w:r>
      <w:r w:rsidR="00C83503" w:rsidRPr="00CF2A64">
        <w:t xml:space="preserve">. </w:t>
      </w:r>
      <w:r w:rsidR="00E01BA7">
        <w:t>CIT</w:t>
      </w:r>
      <w:r w:rsidR="00CF2A64" w:rsidRPr="00CF2A64">
        <w:t xml:space="preserve"> holidays and reduced CIT rates fall into this category, as well as </w:t>
      </w:r>
      <w:r w:rsidR="00C83503" w:rsidRPr="00CF2A64">
        <w:t>allowance</w:t>
      </w:r>
      <w:r w:rsidR="00CF2A64" w:rsidRPr="00CF2A64">
        <w:t>s</w:t>
      </w:r>
      <w:r w:rsidR="00C83503" w:rsidRPr="00CF2A64">
        <w:t xml:space="preserve"> to carry forward losses for income tax purpose over </w:t>
      </w:r>
      <w:r w:rsidR="00633C73" w:rsidRPr="00CF2A64">
        <w:t>subsequent</w:t>
      </w:r>
      <w:r w:rsidR="00C83503" w:rsidRPr="00CF2A64">
        <w:t xml:space="preserve"> fiscal years.</w:t>
      </w:r>
      <w:r w:rsidR="00CF2A64" w:rsidRPr="00CF2A64">
        <w:t xml:space="preserve"> They lower </w:t>
      </w:r>
      <w:r w:rsidR="00E01BA7">
        <w:t xml:space="preserve">(or eliminate) </w:t>
      </w:r>
      <w:r w:rsidR="00CF2A64" w:rsidRPr="00CF2A64">
        <w:t xml:space="preserve">the </w:t>
      </w:r>
      <w:r w:rsidR="00E01BA7">
        <w:t>CIT</w:t>
      </w:r>
      <w:r w:rsidR="00CF2A64" w:rsidRPr="00CF2A64">
        <w:t xml:space="preserve"> rate </w:t>
      </w:r>
      <w:r w:rsidR="00B245DA">
        <w:t>on</w:t>
      </w:r>
      <w:r w:rsidR="00CF2A64" w:rsidRPr="00CF2A64">
        <w:t xml:space="preserve"> any am</w:t>
      </w:r>
      <w:r w:rsidR="00B245DA">
        <w:t>ount of profit earned by a firm, and therefore</w:t>
      </w:r>
      <w:r w:rsidR="00CF2A64" w:rsidRPr="00CF2A64">
        <w:t xml:space="preserve"> heavily favour firms with high profits – those that need the least support from </w:t>
      </w:r>
      <w:r w:rsidR="00CF2A64" w:rsidRPr="00171F09">
        <w:t>government.</w:t>
      </w:r>
      <w:r w:rsidR="00171F09" w:rsidRPr="00171F09">
        <w:t xml:space="preserve"> Profit-based incentives, particular</w:t>
      </w:r>
      <w:r w:rsidR="00B245DA">
        <w:t>ly</w:t>
      </w:r>
      <w:r w:rsidR="00171F09" w:rsidRPr="00171F09">
        <w:t xml:space="preserve"> </w:t>
      </w:r>
      <w:r w:rsidR="00473932">
        <w:t>CIT</w:t>
      </w:r>
      <w:r w:rsidR="00171F09" w:rsidRPr="00171F09">
        <w:t xml:space="preserve"> holidays, </w:t>
      </w:r>
      <w:r w:rsidR="00473932" w:rsidRPr="00171F09">
        <w:t xml:space="preserve">are more widely used in developing countries </w:t>
      </w:r>
      <w:r w:rsidR="00171F09" w:rsidRPr="00171F09">
        <w:t xml:space="preserve">due to their relative ease of implementation and low monitoring costs </w:t>
      </w:r>
      <w:r w:rsidR="00BB1196">
        <w:rPr>
          <w:noProof/>
        </w:rPr>
        <w:t>(Andersen et al.</w:t>
      </w:r>
      <w:r w:rsidR="004B1767" w:rsidRPr="0091662F">
        <w:rPr>
          <w:noProof/>
        </w:rPr>
        <w:t>, 2017)</w:t>
      </w:r>
      <w:r w:rsidR="00171F09" w:rsidRPr="00171F09">
        <w:t xml:space="preserve">. </w:t>
      </w:r>
      <w:r w:rsidR="00473932">
        <w:t>An important drawback of</w:t>
      </w:r>
      <w:r w:rsidR="00171F09" w:rsidRPr="00171F09">
        <w:t xml:space="preserve"> profit-based incentives </w:t>
      </w:r>
      <w:r w:rsidR="00B245DA">
        <w:t xml:space="preserve">is that they are </w:t>
      </w:r>
      <w:r w:rsidR="002F02CA">
        <w:t>prone</w:t>
      </w:r>
      <w:r w:rsidR="00B245DA">
        <w:t xml:space="preserve"> to abuse by companies through artificial re-incorporation </w:t>
      </w:r>
      <w:r w:rsidR="002F02CA">
        <w:t>or</w:t>
      </w:r>
      <w:r w:rsidR="00B245DA">
        <w:t xml:space="preserve"> shifting of taxable income from non-qualifying to qualifying business entities (transfer pricing)</w:t>
      </w:r>
      <w:r w:rsidR="00F35173">
        <w:t>,</w:t>
      </w:r>
      <w:r w:rsidR="00B245DA">
        <w:t xml:space="preserve"> to take advantage of </w:t>
      </w:r>
      <w:r w:rsidR="00171F09" w:rsidRPr="00171F09">
        <w:t>the preferential treatment in</w:t>
      </w:r>
      <w:r w:rsidR="00473932">
        <w:t>tended onl</w:t>
      </w:r>
      <w:r w:rsidR="00B245DA">
        <w:t>y for new investments</w:t>
      </w:r>
      <w:r w:rsidR="009D77EB">
        <w:t>, and are therefore potentially very costly in terms of forgone revenues</w:t>
      </w:r>
      <w:r w:rsidR="00171F09" w:rsidRPr="00171F09">
        <w:t xml:space="preserve"> </w:t>
      </w:r>
      <w:r w:rsidR="004B1767">
        <w:rPr>
          <w:noProof/>
        </w:rPr>
        <w:t>(OECD, 2018a)</w:t>
      </w:r>
      <w:r w:rsidR="00B245DA">
        <w:t>. Loss carry</w:t>
      </w:r>
      <w:r w:rsidR="00171F09" w:rsidRPr="00171F09">
        <w:t xml:space="preserve">-forward provisions </w:t>
      </w:r>
      <w:r w:rsidR="00473932">
        <w:t>offer</w:t>
      </w:r>
      <w:r w:rsidR="00171F09" w:rsidRPr="00171F09">
        <w:t xml:space="preserve"> a </w:t>
      </w:r>
      <w:r w:rsidR="00B245DA">
        <w:t>less costly alternative</w:t>
      </w:r>
      <w:r w:rsidR="002F02CA">
        <w:t>,</w:t>
      </w:r>
      <w:r w:rsidR="00171F09" w:rsidRPr="00171F09">
        <w:t xml:space="preserve"> </w:t>
      </w:r>
      <w:r w:rsidR="00B245DA">
        <w:t>as</w:t>
      </w:r>
      <w:r w:rsidR="00171F09" w:rsidRPr="00171F09">
        <w:t xml:space="preserve"> they defer tax payment but do not exempt it </w:t>
      </w:r>
      <w:r w:rsidR="004B1767">
        <w:rPr>
          <w:noProof/>
        </w:rPr>
        <w:t>(Chai</w:t>
      </w:r>
      <w:r w:rsidR="00CF5954">
        <w:rPr>
          <w:noProof/>
        </w:rPr>
        <w:t xml:space="preserve"> and </w:t>
      </w:r>
      <w:r w:rsidR="004B1767">
        <w:rPr>
          <w:noProof/>
        </w:rPr>
        <w:t>Goyal, 2008)</w:t>
      </w:r>
      <w:r w:rsidR="00171F09" w:rsidRPr="00171F09">
        <w:t>.</w:t>
      </w:r>
    </w:p>
    <w:p w14:paraId="28802B2A" w14:textId="79735023" w:rsidR="00171F09" w:rsidRDefault="00C83503" w:rsidP="001D6C5B">
      <w:pPr>
        <w:pStyle w:val="Para0"/>
      </w:pPr>
      <w:r>
        <w:t>Cost-</w:t>
      </w:r>
      <w:r w:rsidRPr="00171F09">
        <w:t>based incentives</w:t>
      </w:r>
      <w:r w:rsidR="00C348A2" w:rsidRPr="00171F09">
        <w:t>, by contrast,</w:t>
      </w:r>
      <w:r w:rsidRPr="00171F09">
        <w:t xml:space="preserve"> </w:t>
      </w:r>
      <w:r w:rsidR="00171F09" w:rsidRPr="00171F09">
        <w:t xml:space="preserve">lower the cost of a specific input or production factor. </w:t>
      </w:r>
      <w:r w:rsidR="00171F09">
        <w:t xml:space="preserve">They include deductions, credits and accelerated </w:t>
      </w:r>
      <w:r w:rsidR="00E16583">
        <w:t>capital investment</w:t>
      </w:r>
      <w:r w:rsidR="00296680">
        <w:t xml:space="preserve"> allowances</w:t>
      </w:r>
      <w:r w:rsidR="00171F09">
        <w:t xml:space="preserve">. </w:t>
      </w:r>
      <w:r w:rsidR="00171F09" w:rsidRPr="00171F09">
        <w:t>In the case of deductions, a firm can remove a certain share of the investment value from its taxable income. In the case of tax credits, the firm can directly subtract</w:t>
      </w:r>
      <w:r w:rsidR="000F081C">
        <w:t xml:space="preserve"> certain</w:t>
      </w:r>
      <w:r w:rsidR="00171F09" w:rsidRPr="00171F09">
        <w:t xml:space="preserve"> expenses or revenues from the amount of payable taxes. </w:t>
      </w:r>
      <w:r w:rsidR="00171F09" w:rsidRPr="00D14534">
        <w:t xml:space="preserve">Accelerated </w:t>
      </w:r>
      <w:r w:rsidR="00E16583">
        <w:t>capital allowances allow</w:t>
      </w:r>
      <w:r w:rsidR="00171F09" w:rsidRPr="00D14534">
        <w:t xml:space="preserve"> for </w:t>
      </w:r>
      <w:r w:rsidR="00E16583">
        <w:t xml:space="preserve">an asset to be </w:t>
      </w:r>
      <w:r w:rsidR="00171F09" w:rsidRPr="00D14534">
        <w:t>depreciat</w:t>
      </w:r>
      <w:r w:rsidR="00E16583">
        <w:t>ed</w:t>
      </w:r>
      <w:r w:rsidR="00171F09" w:rsidRPr="00D14534">
        <w:t xml:space="preserve"> at a higher rate</w:t>
      </w:r>
      <w:r w:rsidR="00171F09">
        <w:t xml:space="preserve"> </w:t>
      </w:r>
      <w:r w:rsidR="00171F09" w:rsidRPr="00D14534">
        <w:t xml:space="preserve">during earlier years of </w:t>
      </w:r>
      <w:r w:rsidR="00E16583">
        <w:t xml:space="preserve">its </w:t>
      </w:r>
      <w:r w:rsidR="003D6653">
        <w:t xml:space="preserve">useful economic </w:t>
      </w:r>
      <w:r w:rsidR="00171F09" w:rsidRPr="00D14534">
        <w:t>life</w:t>
      </w:r>
      <w:r w:rsidR="00296680">
        <w:t xml:space="preserve">, reducing the </w:t>
      </w:r>
      <w:r w:rsidR="00E16583">
        <w:t xml:space="preserve">price of acquiring </w:t>
      </w:r>
      <w:r w:rsidR="003D6653">
        <w:t xml:space="preserve">new </w:t>
      </w:r>
      <w:r w:rsidR="00E16583">
        <w:t>capital</w:t>
      </w:r>
      <w:r w:rsidR="00171F09">
        <w:t>.</w:t>
      </w:r>
      <w:r w:rsidR="00171F09" w:rsidRPr="00171F09">
        <w:t xml:space="preserve"> </w:t>
      </w:r>
      <w:r w:rsidR="004118F7">
        <w:t xml:space="preserve">They have the additional </w:t>
      </w:r>
      <w:r w:rsidR="005B6395">
        <w:t>advantage</w:t>
      </w:r>
      <w:r w:rsidR="004118F7">
        <w:t xml:space="preserve"> of naturally providing diminishing fiscal </w:t>
      </w:r>
      <w:r w:rsidR="005B6395">
        <w:t>benefits</w:t>
      </w:r>
      <w:r w:rsidR="004118F7">
        <w:t xml:space="preserve"> as an investment project </w:t>
      </w:r>
      <w:r w:rsidR="004118F7">
        <w:lastRenderedPageBreak/>
        <w:t xml:space="preserve">matures. </w:t>
      </w:r>
      <w:r w:rsidR="00171F09">
        <w:t>In all cases, t</w:t>
      </w:r>
      <w:r w:rsidR="00F35173">
        <w:t xml:space="preserve">he benefit for the firm </w:t>
      </w:r>
      <w:r w:rsidR="00171F09" w:rsidRPr="00171F09">
        <w:t xml:space="preserve">depends only on the size of the investment </w:t>
      </w:r>
      <w:r w:rsidR="00F35173">
        <w:t>undertaken and not on its profit</w:t>
      </w:r>
      <w:r w:rsidR="00F550F2">
        <w:t>-level</w:t>
      </w:r>
      <w:r w:rsidR="00171F09" w:rsidRPr="00171F09">
        <w:t>.</w:t>
      </w:r>
      <w:r w:rsidR="006E0B0C">
        <w:t xml:space="preserve"> </w:t>
      </w:r>
      <w:r w:rsidR="001D6C5B" w:rsidRPr="001D6C5B">
        <w:t>Cost-based incentives affect the investment decision of investors by lowering the cost o</w:t>
      </w:r>
      <w:r w:rsidR="001D6C5B">
        <w:t>f capital</w:t>
      </w:r>
      <w:r w:rsidR="00994742">
        <w:t>,</w:t>
      </w:r>
      <w:r w:rsidR="001D6C5B">
        <w:t xml:space="preserve"> and </w:t>
      </w:r>
      <w:r w:rsidR="001D6C5B" w:rsidRPr="001D6C5B">
        <w:t>mak</w:t>
      </w:r>
      <w:r w:rsidR="00994742">
        <w:t>ing</w:t>
      </w:r>
      <w:r w:rsidR="001D6C5B" w:rsidRPr="001D6C5B">
        <w:t xml:space="preserve"> </w:t>
      </w:r>
      <w:r w:rsidR="00994742">
        <w:t>more</w:t>
      </w:r>
      <w:r w:rsidR="001D6C5B" w:rsidRPr="001D6C5B">
        <w:t xml:space="preserve"> investment projects </w:t>
      </w:r>
      <w:r w:rsidR="00807F43">
        <w:t>economically viable</w:t>
      </w:r>
      <w:r w:rsidR="00971866">
        <w:t xml:space="preserve"> at the margin</w:t>
      </w:r>
      <w:r w:rsidR="001D6C5B" w:rsidRPr="001D6C5B">
        <w:t xml:space="preserve">. </w:t>
      </w:r>
      <w:r w:rsidR="00994742">
        <w:t>In other words</w:t>
      </w:r>
      <w:r w:rsidR="001D6C5B" w:rsidRPr="001D6C5B">
        <w:t xml:space="preserve">, they </w:t>
      </w:r>
      <w:r w:rsidR="001D6C5B">
        <w:t xml:space="preserve">are </w:t>
      </w:r>
      <w:r w:rsidR="001D6C5B" w:rsidRPr="00171F09">
        <w:t xml:space="preserve">expected to </w:t>
      </w:r>
      <w:r w:rsidR="00807F43">
        <w:t>facilitate</w:t>
      </w:r>
      <w:r w:rsidR="001D6C5B" w:rsidRPr="00171F09">
        <w:t xml:space="preserve"> investment that would otherwise </w:t>
      </w:r>
      <w:r w:rsidR="00807F43">
        <w:t>not</w:t>
      </w:r>
      <w:r w:rsidR="001D6C5B" w:rsidRPr="00171F09">
        <w:t xml:space="preserve"> be</w:t>
      </w:r>
      <w:r w:rsidR="00807F43">
        <w:t xml:space="preserve"> </w:t>
      </w:r>
      <w:r w:rsidR="001D6C5B" w:rsidRPr="00171F09">
        <w:t>made</w:t>
      </w:r>
      <w:r w:rsidR="001D6C5B" w:rsidRPr="001D6C5B">
        <w:t xml:space="preserve"> </w:t>
      </w:r>
      <w:r w:rsidR="001D6C5B">
        <w:t xml:space="preserve">and </w:t>
      </w:r>
      <w:r w:rsidR="001D6C5B" w:rsidRPr="001D6C5B">
        <w:t xml:space="preserve">have the potential to </w:t>
      </w:r>
      <w:r w:rsidR="001D6C5B">
        <w:t>mobilis</w:t>
      </w:r>
      <w:r w:rsidR="001D6C5B" w:rsidRPr="001D6C5B">
        <w:t xml:space="preserve">e more investment per dollar of forgone tax revenue </w:t>
      </w:r>
      <w:r w:rsidR="004B1767">
        <w:rPr>
          <w:noProof/>
        </w:rPr>
        <w:t>(Clark</w:t>
      </w:r>
      <w:r w:rsidR="00CF5954">
        <w:rPr>
          <w:noProof/>
        </w:rPr>
        <w:t xml:space="preserve"> and </w:t>
      </w:r>
      <w:r w:rsidR="004B1767">
        <w:rPr>
          <w:noProof/>
        </w:rPr>
        <w:t>Skrok, 2019)</w:t>
      </w:r>
      <w:r w:rsidR="001D6C5B" w:rsidRPr="001D6C5B">
        <w:t>.</w:t>
      </w:r>
    </w:p>
    <w:p w14:paraId="27B244BC" w14:textId="326491C2" w:rsidR="00A540B1" w:rsidRDefault="00223E0D" w:rsidP="002E4E1D">
      <w:pPr>
        <w:pStyle w:val="Para0"/>
      </w:pPr>
      <w:r>
        <w:t xml:space="preserve">A second </w:t>
      </w:r>
      <w:r w:rsidR="002E4E1D">
        <w:t xml:space="preserve">and related </w:t>
      </w:r>
      <w:r>
        <w:t xml:space="preserve">distinction is between targeted and non-targeted incentives. </w:t>
      </w:r>
      <w:r w:rsidR="009F26A2">
        <w:t>N</w:t>
      </w:r>
      <w:r w:rsidR="00971D12">
        <w:t>on-targeted incentives depen</w:t>
      </w:r>
      <w:r w:rsidR="005D13B5">
        <w:t xml:space="preserve">d </w:t>
      </w:r>
      <w:r w:rsidR="00971D12">
        <w:t xml:space="preserve">only </w:t>
      </w:r>
      <w:r w:rsidR="005D13B5">
        <w:t xml:space="preserve">on </w:t>
      </w:r>
      <w:r w:rsidR="00971D12">
        <w:t xml:space="preserve">new investment spending, </w:t>
      </w:r>
      <w:r w:rsidR="009F26A2">
        <w:t xml:space="preserve">whereas </w:t>
      </w:r>
      <w:r w:rsidR="00971D12">
        <w:t>e</w:t>
      </w:r>
      <w:r w:rsidR="004D7578">
        <w:t>ligibility</w:t>
      </w:r>
      <w:r>
        <w:t xml:space="preserve"> </w:t>
      </w:r>
      <w:r w:rsidR="004D7578">
        <w:t>for</w:t>
      </w:r>
      <w:r>
        <w:t xml:space="preserve"> ta</w:t>
      </w:r>
      <w:r w:rsidR="004D7578">
        <w:t>rgeted investment incentives is</w:t>
      </w:r>
      <w:r>
        <w:t xml:space="preserve"> limited to specif</w:t>
      </w:r>
      <w:r w:rsidR="004D7578">
        <w:t xml:space="preserve">ic industries, </w:t>
      </w:r>
      <w:r w:rsidR="00971D12">
        <w:t xml:space="preserve">geographies, </w:t>
      </w:r>
      <w:r w:rsidR="005D13B5">
        <w:t xml:space="preserve">activities </w:t>
      </w:r>
      <w:r w:rsidR="00971D12">
        <w:t xml:space="preserve">or </w:t>
      </w:r>
      <w:r w:rsidR="009D77EB">
        <w:t>some</w:t>
      </w:r>
      <w:r w:rsidR="00971D12">
        <w:t xml:space="preserve"> combination of the three</w:t>
      </w:r>
      <w:r>
        <w:t xml:space="preserve"> (Figure 4.3</w:t>
      </w:r>
      <w:r w:rsidR="00971D12">
        <w:t>)</w:t>
      </w:r>
      <w:r w:rsidR="004D7578">
        <w:t>.</w:t>
      </w:r>
      <w:r w:rsidR="006E0B0C">
        <w:t xml:space="preserve"> </w:t>
      </w:r>
      <w:r w:rsidR="009F26A2">
        <w:t xml:space="preserve">Targeted profit-based incentives typically favour specific industries or geographies so as to </w:t>
      </w:r>
      <w:r w:rsidR="006E0B0C">
        <w:t>promote</w:t>
      </w:r>
      <w:r w:rsidR="009F26A2">
        <w:t xml:space="preserve"> the development of strategic sectors or disadvantaged regions. </w:t>
      </w:r>
      <w:r w:rsidR="00AB4199">
        <w:t xml:space="preserve">By </w:t>
      </w:r>
      <w:r w:rsidR="00AB4199" w:rsidRPr="000F081C">
        <w:t>divert</w:t>
      </w:r>
      <w:r w:rsidR="00AB4199">
        <w:t>ing</w:t>
      </w:r>
      <w:r w:rsidR="00AB4199" w:rsidRPr="000F081C">
        <w:t xml:space="preserve"> labour and capital to prioritised areas, </w:t>
      </w:r>
      <w:r w:rsidR="00AB4199">
        <w:t>targeted incentives</w:t>
      </w:r>
      <w:r w:rsidR="00AB4199" w:rsidRPr="000F081C">
        <w:t xml:space="preserve"> may </w:t>
      </w:r>
      <w:r w:rsidR="00AB4199">
        <w:t xml:space="preserve">create distortions on investment choices among sectors or activities instead of correcting market failures. </w:t>
      </w:r>
      <w:r w:rsidR="00971866">
        <w:t xml:space="preserve">Targeted cost-based incentives are instead </w:t>
      </w:r>
      <w:r w:rsidR="00971866" w:rsidRPr="009F26A2">
        <w:t>linked to certain activities</w:t>
      </w:r>
      <w:r w:rsidR="00971866">
        <w:t xml:space="preserve"> and related expenses</w:t>
      </w:r>
      <w:r w:rsidR="00971866" w:rsidRPr="009F26A2">
        <w:t xml:space="preserve"> (e.g. </w:t>
      </w:r>
      <w:r w:rsidR="00971866">
        <w:t xml:space="preserve">staff </w:t>
      </w:r>
      <w:r w:rsidR="00971866" w:rsidRPr="009F26A2">
        <w:t>training, supplier development, R&amp;D, exports)</w:t>
      </w:r>
      <w:r w:rsidR="00971866">
        <w:t xml:space="preserve">, in support of </w:t>
      </w:r>
      <w:r w:rsidR="00971866" w:rsidRPr="009F26A2">
        <w:t>specific policy objectives</w:t>
      </w:r>
      <w:r w:rsidR="00971866">
        <w:t xml:space="preserve">. </w:t>
      </w:r>
      <w:r w:rsidR="00AB4199">
        <w:t>A major</w:t>
      </w:r>
      <w:r w:rsidR="00F550F2">
        <w:t xml:space="preserve"> </w:t>
      </w:r>
      <w:r w:rsidR="00F550F2" w:rsidRPr="00E16583">
        <w:t xml:space="preserve">downside of cost-based </w:t>
      </w:r>
      <w:r w:rsidR="00F550F2">
        <w:t xml:space="preserve">and </w:t>
      </w:r>
      <w:r w:rsidR="00F550F2" w:rsidRPr="00E16583">
        <w:t xml:space="preserve">targeted tax incentives is that they require </w:t>
      </w:r>
      <w:r w:rsidR="00F550F2">
        <w:t>greater</w:t>
      </w:r>
      <w:r w:rsidR="00F550F2" w:rsidRPr="00E16583">
        <w:t xml:space="preserve"> tax administration capacities </w:t>
      </w:r>
      <w:r w:rsidR="00F550F2">
        <w:t xml:space="preserve">and are associated with higher enforcement and compliance costs </w:t>
      </w:r>
      <w:r w:rsidR="00F550F2" w:rsidRPr="00E16583">
        <w:t xml:space="preserve">in terms of </w:t>
      </w:r>
      <w:r w:rsidR="00F550F2">
        <w:t>qualifying and reporting requirements</w:t>
      </w:r>
      <w:r w:rsidR="00F550F2" w:rsidRPr="00E16583">
        <w:t>. Capacity-constrained developing countries therefore tend to make less use of these instruments relative to profit-based incentives (Andersen et al., 2017; James, 2014).</w:t>
      </w:r>
    </w:p>
    <w:p w14:paraId="1A9D04A4" w14:textId="08F50521" w:rsidR="009F26A2" w:rsidRDefault="009F26A2" w:rsidP="009F26A2">
      <w:pPr>
        <w:pStyle w:val="Caption"/>
      </w:pPr>
      <w:bookmarkStart w:id="118" w:name="_Toc31983266"/>
      <w:bookmarkStart w:id="119" w:name="_Toc33443318"/>
      <w:r>
        <w:t xml:space="preserve">Table </w:t>
      </w:r>
      <w:fldSimple w:instr=" STYLEREF 1 \s ">
        <w:r w:rsidR="00DC4D16">
          <w:rPr>
            <w:noProof/>
          </w:rPr>
          <w:t>4</w:t>
        </w:r>
      </w:fldSimple>
      <w:r>
        <w:t>.</w:t>
      </w:r>
      <w:r>
        <w:rPr>
          <w:noProof/>
        </w:rPr>
        <w:fldChar w:fldCharType="begin"/>
      </w:r>
      <w:r>
        <w:rPr>
          <w:noProof/>
        </w:rPr>
        <w:instrText xml:space="preserve"> SEQ Table \* ARABIC \s 1 </w:instrText>
      </w:r>
      <w:r>
        <w:rPr>
          <w:noProof/>
        </w:rPr>
        <w:fldChar w:fldCharType="separate"/>
      </w:r>
      <w:r w:rsidR="00DC4D16">
        <w:rPr>
          <w:noProof/>
        </w:rPr>
        <w:t>1</w:t>
      </w:r>
      <w:r>
        <w:rPr>
          <w:noProof/>
        </w:rPr>
        <w:fldChar w:fldCharType="end"/>
      </w:r>
      <w:r>
        <w:t>. Summary of types of tax incentives</w:t>
      </w:r>
      <w:bookmarkEnd w:id="118"/>
      <w:bookmarkEnd w:id="119"/>
    </w:p>
    <w:tbl>
      <w:tblPr>
        <w:tblStyle w:val="OECD"/>
        <w:tblW w:w="7938" w:type="dxa"/>
        <w:tblLook w:val="0420" w:firstRow="1" w:lastRow="0" w:firstColumn="0" w:lastColumn="0" w:noHBand="0" w:noVBand="1"/>
      </w:tblPr>
      <w:tblGrid>
        <w:gridCol w:w="1587"/>
        <w:gridCol w:w="3175"/>
        <w:gridCol w:w="3176"/>
      </w:tblGrid>
      <w:tr w:rsidR="009F26A2" w:rsidRPr="00454399" w14:paraId="3863C450" w14:textId="77777777" w:rsidTr="005D3918">
        <w:trPr>
          <w:cnfStyle w:val="100000000000" w:firstRow="1" w:lastRow="0" w:firstColumn="0" w:lastColumn="0" w:oddVBand="0" w:evenVBand="0" w:oddHBand="0" w:evenHBand="0" w:firstRowFirstColumn="0" w:firstRowLastColumn="0" w:lastRowFirstColumn="0" w:lastRowLastColumn="0"/>
        </w:trPr>
        <w:tc>
          <w:tcPr>
            <w:tcW w:w="1587" w:type="dxa"/>
            <w:tcBorders>
              <w:bottom w:val="single" w:sz="4" w:space="0" w:color="auto"/>
            </w:tcBorders>
          </w:tcPr>
          <w:p w14:paraId="14C7C180" w14:textId="77777777" w:rsidR="009F26A2" w:rsidRPr="00454399" w:rsidRDefault="009F26A2" w:rsidP="005D3918">
            <w:pPr>
              <w:pStyle w:val="TableColumn"/>
            </w:pPr>
          </w:p>
        </w:tc>
        <w:tc>
          <w:tcPr>
            <w:tcW w:w="3175" w:type="dxa"/>
            <w:tcBorders>
              <w:bottom w:val="single" w:sz="4" w:space="0" w:color="auto"/>
            </w:tcBorders>
          </w:tcPr>
          <w:p w14:paraId="4E570EA3" w14:textId="77777777" w:rsidR="009F26A2" w:rsidRPr="00454399" w:rsidRDefault="009F26A2" w:rsidP="005D3918">
            <w:pPr>
              <w:pStyle w:val="TableColumn"/>
            </w:pPr>
            <w:r>
              <w:t>Targeted</w:t>
            </w:r>
          </w:p>
        </w:tc>
        <w:tc>
          <w:tcPr>
            <w:tcW w:w="3176" w:type="dxa"/>
            <w:tcBorders>
              <w:bottom w:val="single" w:sz="4" w:space="0" w:color="auto"/>
            </w:tcBorders>
          </w:tcPr>
          <w:p w14:paraId="7CD95376" w14:textId="77777777" w:rsidR="009F26A2" w:rsidRPr="00454399" w:rsidRDefault="009F26A2" w:rsidP="005D3918">
            <w:pPr>
              <w:pStyle w:val="TableColumn"/>
            </w:pPr>
            <w:r>
              <w:t>Non-targeted</w:t>
            </w:r>
          </w:p>
        </w:tc>
      </w:tr>
      <w:tr w:rsidR="009F26A2" w:rsidRPr="00454399" w14:paraId="7BD01994" w14:textId="77777777" w:rsidTr="005D3918">
        <w:trPr>
          <w:cnfStyle w:val="000000100000" w:firstRow="0" w:lastRow="0" w:firstColumn="0" w:lastColumn="0" w:oddVBand="0" w:evenVBand="0" w:oddHBand="1" w:evenHBand="0" w:firstRowFirstColumn="0" w:firstRowLastColumn="0" w:lastRowFirstColumn="0" w:lastRowLastColumn="0"/>
        </w:trPr>
        <w:tc>
          <w:tcPr>
            <w:tcW w:w="1587" w:type="dxa"/>
            <w:tcBorders>
              <w:top w:val="single" w:sz="4" w:space="0" w:color="auto"/>
            </w:tcBorders>
          </w:tcPr>
          <w:p w14:paraId="666F0102" w14:textId="77777777" w:rsidR="009F26A2" w:rsidRPr="00454399" w:rsidRDefault="009F26A2" w:rsidP="005D3918">
            <w:pPr>
              <w:pStyle w:val="TableRow"/>
            </w:pPr>
            <w:r>
              <w:t>Profit-based</w:t>
            </w:r>
          </w:p>
        </w:tc>
        <w:tc>
          <w:tcPr>
            <w:tcW w:w="3175" w:type="dxa"/>
            <w:tcBorders>
              <w:top w:val="single" w:sz="4" w:space="0" w:color="auto"/>
            </w:tcBorders>
          </w:tcPr>
          <w:p w14:paraId="4B86A2A9" w14:textId="77777777" w:rsidR="009F26A2" w:rsidRDefault="009F26A2" w:rsidP="005D3918">
            <w:pPr>
              <w:pStyle w:val="TableCell"/>
              <w:jc w:val="center"/>
            </w:pPr>
            <w:r>
              <w:t>CIT holiday or reduced rate in priority sectors,</w:t>
            </w:r>
          </w:p>
          <w:p w14:paraId="071B0DAE" w14:textId="77777777" w:rsidR="009F26A2" w:rsidRPr="00454399" w:rsidRDefault="009F26A2" w:rsidP="005D3918">
            <w:pPr>
              <w:pStyle w:val="TableCell"/>
              <w:jc w:val="center"/>
            </w:pPr>
            <w:r>
              <w:t>CIT exemption for export companies</w:t>
            </w:r>
          </w:p>
        </w:tc>
        <w:tc>
          <w:tcPr>
            <w:tcW w:w="3176" w:type="dxa"/>
            <w:tcBorders>
              <w:top w:val="single" w:sz="4" w:space="0" w:color="auto"/>
            </w:tcBorders>
          </w:tcPr>
          <w:p w14:paraId="33E88F59" w14:textId="77777777" w:rsidR="009F26A2" w:rsidRPr="00454399" w:rsidRDefault="009F26A2" w:rsidP="005D3918">
            <w:pPr>
              <w:pStyle w:val="TableCell"/>
              <w:jc w:val="center"/>
            </w:pPr>
            <w:r>
              <w:t>CIT holiday or reduced rate</w:t>
            </w:r>
          </w:p>
        </w:tc>
      </w:tr>
      <w:tr w:rsidR="009F26A2" w:rsidRPr="00454399" w14:paraId="1B0BBE0B" w14:textId="77777777" w:rsidTr="005D3918">
        <w:trPr>
          <w:cnfStyle w:val="000000010000" w:firstRow="0" w:lastRow="0" w:firstColumn="0" w:lastColumn="0" w:oddVBand="0" w:evenVBand="0" w:oddHBand="0" w:evenHBand="1" w:firstRowFirstColumn="0" w:firstRowLastColumn="0" w:lastRowFirstColumn="0" w:lastRowLastColumn="0"/>
        </w:trPr>
        <w:tc>
          <w:tcPr>
            <w:tcW w:w="1587" w:type="dxa"/>
          </w:tcPr>
          <w:p w14:paraId="79723135" w14:textId="77777777" w:rsidR="009F26A2" w:rsidRPr="00454399" w:rsidRDefault="009F26A2" w:rsidP="005D3918">
            <w:pPr>
              <w:pStyle w:val="TableRow"/>
            </w:pPr>
            <w:r>
              <w:t>Cost-based</w:t>
            </w:r>
          </w:p>
        </w:tc>
        <w:tc>
          <w:tcPr>
            <w:tcW w:w="3175" w:type="dxa"/>
          </w:tcPr>
          <w:p w14:paraId="2CD6B491" w14:textId="77777777" w:rsidR="009F26A2" w:rsidRPr="00454399" w:rsidRDefault="009F26A2" w:rsidP="005D3918">
            <w:pPr>
              <w:pStyle w:val="TableCell"/>
              <w:jc w:val="center"/>
            </w:pPr>
            <w:r>
              <w:t>CIT deductions/ credits on qualifying expenses (e.g. R&amp;D, staff training)</w:t>
            </w:r>
          </w:p>
        </w:tc>
        <w:tc>
          <w:tcPr>
            <w:tcW w:w="3176" w:type="dxa"/>
          </w:tcPr>
          <w:p w14:paraId="43D9F152" w14:textId="77777777" w:rsidR="009F26A2" w:rsidRPr="00454399" w:rsidRDefault="009F26A2" w:rsidP="005D3918">
            <w:pPr>
              <w:pStyle w:val="TableCell"/>
              <w:jc w:val="center"/>
            </w:pPr>
            <w:r>
              <w:t>Accelerated capital allowances</w:t>
            </w:r>
          </w:p>
        </w:tc>
      </w:tr>
      <w:tr w:rsidR="009F26A2" w:rsidRPr="00454399" w14:paraId="0806E031" w14:textId="77777777" w:rsidTr="005D3918">
        <w:trPr>
          <w:cnfStyle w:val="000000100000" w:firstRow="0" w:lastRow="0" w:firstColumn="0" w:lastColumn="0" w:oddVBand="0" w:evenVBand="0" w:oddHBand="1" w:evenHBand="0" w:firstRowFirstColumn="0" w:firstRowLastColumn="0" w:lastRowFirstColumn="0" w:lastRowLastColumn="0"/>
        </w:trPr>
        <w:tc>
          <w:tcPr>
            <w:tcW w:w="1587" w:type="dxa"/>
          </w:tcPr>
          <w:p w14:paraId="2C866B03" w14:textId="77777777" w:rsidR="009F26A2" w:rsidRPr="00454399" w:rsidRDefault="009F26A2" w:rsidP="005D3918">
            <w:pPr>
              <w:pStyle w:val="TableRow"/>
            </w:pPr>
            <w:r>
              <w:t>Exemptions from indirect taxes</w:t>
            </w:r>
          </w:p>
        </w:tc>
        <w:tc>
          <w:tcPr>
            <w:tcW w:w="3175" w:type="dxa"/>
          </w:tcPr>
          <w:p w14:paraId="3BC422B7" w14:textId="77777777" w:rsidR="009F26A2" w:rsidRPr="00454399" w:rsidRDefault="009F26A2" w:rsidP="005D3918">
            <w:pPr>
              <w:pStyle w:val="TableCell"/>
              <w:jc w:val="center"/>
            </w:pPr>
            <w:r>
              <w:t>Customs duty on exports, or imports used to produce export goods</w:t>
            </w:r>
          </w:p>
        </w:tc>
        <w:tc>
          <w:tcPr>
            <w:tcW w:w="3176" w:type="dxa"/>
          </w:tcPr>
          <w:p w14:paraId="6E748B0A" w14:textId="77777777" w:rsidR="009F26A2" w:rsidRPr="00454399" w:rsidRDefault="009F26A2" w:rsidP="005D3918">
            <w:pPr>
              <w:pStyle w:val="TableCell"/>
              <w:jc w:val="center"/>
            </w:pPr>
            <w:r>
              <w:t>Customs duty, property tax, land tax, VAT on machinery and equipment</w:t>
            </w:r>
          </w:p>
        </w:tc>
      </w:tr>
    </w:tbl>
    <w:p w14:paraId="0AD37E76" w14:textId="6A1FD0FB" w:rsidR="009F26A2" w:rsidRDefault="009F26A2" w:rsidP="009F26A2">
      <w:pPr>
        <w:pStyle w:val="Sourcenotes"/>
      </w:pPr>
      <w:r w:rsidRPr="00454399">
        <w:rPr>
          <w:i/>
        </w:rPr>
        <w:t>Note</w:t>
      </w:r>
      <w:r>
        <w:t xml:space="preserve">: This </w:t>
      </w:r>
      <w:r w:rsidR="009C23CD">
        <w:t>classification</w:t>
      </w:r>
      <w:r>
        <w:t xml:space="preserve"> is not exhaustive but summarise</w:t>
      </w:r>
      <w:r w:rsidR="009C23CD">
        <w:t>s</w:t>
      </w:r>
      <w:r>
        <w:t xml:space="preserve"> </w:t>
      </w:r>
      <w:r w:rsidR="009C23CD">
        <w:t xml:space="preserve">main </w:t>
      </w:r>
      <w:r>
        <w:t>tax incentives along key dimensions.</w:t>
      </w:r>
    </w:p>
    <w:p w14:paraId="6EA7335B" w14:textId="77777777" w:rsidR="009F26A2" w:rsidRDefault="009F26A2" w:rsidP="009F26A2">
      <w:pPr>
        <w:pStyle w:val="Sourcenotes"/>
      </w:pPr>
      <w:r>
        <w:rPr>
          <w:i/>
        </w:rPr>
        <w:t>Source</w:t>
      </w:r>
      <w:r w:rsidRPr="002F02CA">
        <w:t>:</w:t>
      </w:r>
      <w:r>
        <w:t xml:space="preserve"> Adapted from OECD (2001), United Nations (2000), </w:t>
      </w:r>
      <w:r w:rsidR="0054224E">
        <w:t xml:space="preserve">and </w:t>
      </w:r>
      <w:r>
        <w:t>Fletcher (2002).</w:t>
      </w:r>
    </w:p>
    <w:p w14:paraId="35C5000A" w14:textId="2C4F575A" w:rsidR="00223E0D" w:rsidRDefault="00223E0D" w:rsidP="00223E0D">
      <w:pPr>
        <w:pStyle w:val="Caption"/>
      </w:pPr>
      <w:bookmarkStart w:id="120" w:name="_Toc31983256"/>
      <w:bookmarkStart w:id="121" w:name="_Toc33443340"/>
      <w:r>
        <w:t xml:space="preserve">Figure </w:t>
      </w:r>
      <w:fldSimple w:instr=" STYLEREF 1 \s ">
        <w:r w:rsidR="00DC4D16">
          <w:rPr>
            <w:noProof/>
          </w:rPr>
          <w:t>4</w:t>
        </w:r>
      </w:fldSimple>
      <w:r>
        <w:t>.</w:t>
      </w:r>
      <w:r>
        <w:rPr>
          <w:noProof/>
        </w:rPr>
        <w:fldChar w:fldCharType="begin"/>
      </w:r>
      <w:r>
        <w:rPr>
          <w:noProof/>
        </w:rPr>
        <w:instrText xml:space="preserve"> SEQ Figure \* ARABIC \s 1 </w:instrText>
      </w:r>
      <w:r>
        <w:rPr>
          <w:noProof/>
        </w:rPr>
        <w:fldChar w:fldCharType="separate"/>
      </w:r>
      <w:r w:rsidR="00DC4D16">
        <w:rPr>
          <w:noProof/>
        </w:rPr>
        <w:t>3</w:t>
      </w:r>
      <w:r>
        <w:rPr>
          <w:noProof/>
        </w:rPr>
        <w:fldChar w:fldCharType="end"/>
      </w:r>
      <w:r w:rsidR="000F0555">
        <w:t>. Typical</w:t>
      </w:r>
      <w:r>
        <w:t xml:space="preserve"> i</w:t>
      </w:r>
      <w:r w:rsidRPr="00B34F25">
        <w:t>nvestment incentive</w:t>
      </w:r>
      <w:r w:rsidR="000F0555">
        <w:t xml:space="preserve"> targets</w:t>
      </w:r>
      <w:bookmarkEnd w:id="120"/>
      <w:bookmarkEnd w:id="121"/>
    </w:p>
    <w:p w14:paraId="619F5E91" w14:textId="77777777" w:rsidR="00223E0D" w:rsidRDefault="00223E0D" w:rsidP="00223E0D">
      <w:pPr>
        <w:pStyle w:val="Para0"/>
        <w:jc w:val="center"/>
      </w:pPr>
      <w:r>
        <w:rPr>
          <w:noProof/>
          <w:lang w:eastAsia="en-GB"/>
        </w:rPr>
        <w:drawing>
          <wp:inline distT="0" distB="0" distL="0" distR="0" wp14:anchorId="07FE6BAA" wp14:editId="791CABAD">
            <wp:extent cx="2880000" cy="272855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80000" cy="2728557"/>
                    </a:xfrm>
                    <a:prstGeom prst="rect">
                      <a:avLst/>
                    </a:prstGeom>
                    <a:noFill/>
                  </pic:spPr>
                </pic:pic>
              </a:graphicData>
            </a:graphic>
          </wp:inline>
        </w:drawing>
      </w:r>
    </w:p>
    <w:p w14:paraId="39FBBFD6" w14:textId="77777777" w:rsidR="00223E0D" w:rsidRPr="00283289" w:rsidRDefault="00223E0D" w:rsidP="00223E0D">
      <w:pPr>
        <w:pStyle w:val="Sourcenotes"/>
        <w:rPr>
          <w:i/>
        </w:rPr>
      </w:pPr>
      <w:r>
        <w:rPr>
          <w:i/>
        </w:rPr>
        <w:t xml:space="preserve">Source: </w:t>
      </w:r>
      <w:r w:rsidRPr="00210CC2">
        <w:t>OECD elaboration.</w:t>
      </w:r>
      <w:r>
        <w:rPr>
          <w:i/>
        </w:rPr>
        <w:t xml:space="preserve"> </w:t>
      </w:r>
    </w:p>
    <w:p w14:paraId="6E13B423" w14:textId="77777777" w:rsidR="005819B5" w:rsidRDefault="005819B5" w:rsidP="005819B5">
      <w:pPr>
        <w:pStyle w:val="Para0"/>
      </w:pPr>
      <w:r>
        <w:lastRenderedPageBreak/>
        <w:t>Broadly speaking, i</w:t>
      </w:r>
      <w:r w:rsidRPr="00E16583">
        <w:t>nternational organisations tend to agree that tax incentives that lower the cost of investment should be preferred over profit-based tax incentives, because of their</w:t>
      </w:r>
      <w:r>
        <w:t xml:space="preserve"> longer-term impact on </w:t>
      </w:r>
      <w:r w:rsidRPr="00E16583">
        <w:t>inv</w:t>
      </w:r>
      <w:r>
        <w:t>estment and higher likelihood of</w:t>
      </w:r>
      <w:r w:rsidRPr="00E16583">
        <w:t xml:space="preserve"> generat</w:t>
      </w:r>
      <w:r>
        <w:t>ing</w:t>
      </w:r>
      <w:r w:rsidRPr="00E16583">
        <w:t xml:space="preserve"> spillover</w:t>
      </w:r>
      <w:r>
        <w:t>s</w:t>
      </w:r>
      <w:r w:rsidRPr="00E16583">
        <w:t xml:space="preserve"> </w:t>
      </w:r>
      <w:r w:rsidRPr="0091662F">
        <w:rPr>
          <w:noProof/>
        </w:rPr>
        <w:t>(IMF-OECD-UN-World Bank, 2015)</w:t>
      </w:r>
      <w:r w:rsidRPr="00E16583">
        <w:t xml:space="preserve">. </w:t>
      </w:r>
      <w:r>
        <w:t xml:space="preserve">Targeted approaches should similarly be preferred as they are more suitable to achieve specific policy goals and make it more difficult for firms to engage in aggressive tax planning </w:t>
      </w:r>
      <w:r w:rsidRPr="0091662F">
        <w:rPr>
          <w:noProof/>
        </w:rPr>
        <w:t>(IMF-OECD-UN-World Bank, 2015)</w:t>
      </w:r>
      <w:r>
        <w:t xml:space="preserve">. To minimise distortions, they should be embedded in a broader national development strategy that lays down the principles and policy objectives for their introduction or continuation </w:t>
      </w:r>
      <w:r>
        <w:rPr>
          <w:noProof/>
        </w:rPr>
        <w:t>(OECD, 2013)</w:t>
      </w:r>
      <w:r>
        <w:t xml:space="preserve">. </w:t>
      </w:r>
    </w:p>
    <w:p w14:paraId="04F2A1CC" w14:textId="77777777" w:rsidR="005819B5" w:rsidRDefault="005819B5" w:rsidP="005819B5">
      <w:pPr>
        <w:pStyle w:val="Para0"/>
      </w:pPr>
      <w:r>
        <w:t>A</w:t>
      </w:r>
      <w:r w:rsidRPr="009F26A2">
        <w:t>dditional types of investment incentives include exemptions from indirect taxes paid by businesses, such as value added tax (VAT) on machinery and equipment</w:t>
      </w:r>
      <w:r>
        <w:t xml:space="preserve"> (other VAT payments are usually creditable)</w:t>
      </w:r>
      <w:r w:rsidRPr="009F26A2">
        <w:t>, land tax, property tax, and customs duties on imported and exported goods.</w:t>
      </w:r>
      <w:r>
        <w:t xml:space="preserve"> A main benefit of these incentives is that they allow investors to avoid contact with tax and customs administration, lowering their cost of paying taxes, which can be particularly high in countries with complex tax systems or high corruption. A drawback is that they are prone to abuse, as it relatively easy to divert exempt purchases to unintended recipients.</w:t>
      </w:r>
    </w:p>
    <w:p w14:paraId="70E3AC7B" w14:textId="08841376" w:rsidR="00C83503" w:rsidRDefault="002654D7" w:rsidP="00C83503">
      <w:pPr>
        <w:pStyle w:val="Title3"/>
      </w:pPr>
      <w:r>
        <w:t>I</w:t>
      </w:r>
      <w:r w:rsidR="00C83503">
        <w:t xml:space="preserve">ncentives in </w:t>
      </w:r>
      <w:r w:rsidR="00CE3899">
        <w:t>EaP</w:t>
      </w:r>
      <w:r>
        <w:t xml:space="preserve"> target innovation, agriculture and renewable energy</w:t>
      </w:r>
    </w:p>
    <w:p w14:paraId="15AFBB63" w14:textId="59DB3ABC" w:rsidR="001D4FA9" w:rsidRDefault="00CE3899" w:rsidP="00C83503">
      <w:pPr>
        <w:pStyle w:val="Para0"/>
      </w:pPr>
      <w:r>
        <w:t>EaP c</w:t>
      </w:r>
      <w:r w:rsidR="00E70818">
        <w:t>ountries</w:t>
      </w:r>
      <w:r w:rsidR="00D549F4">
        <w:t xml:space="preserve"> </w:t>
      </w:r>
      <w:r w:rsidR="00285101">
        <w:t xml:space="preserve">tend to offer a generous package of fiscal </w:t>
      </w:r>
      <w:r w:rsidR="00E70818">
        <w:t>incentives</w:t>
      </w:r>
      <w:r w:rsidR="00285101">
        <w:t xml:space="preserve"> </w:t>
      </w:r>
      <w:r w:rsidR="00D549F4">
        <w:t xml:space="preserve">that are </w:t>
      </w:r>
      <w:r w:rsidR="00C83503">
        <w:t>increasingly targeted towards promoting</w:t>
      </w:r>
      <w:r w:rsidR="00D549F4">
        <w:t xml:space="preserve"> investments in</w:t>
      </w:r>
      <w:r w:rsidR="00C83503">
        <w:t xml:space="preserve"> specific </w:t>
      </w:r>
      <w:r w:rsidR="00E70818">
        <w:t>industries and types of activities</w:t>
      </w:r>
      <w:r w:rsidR="002F503A">
        <w:t>; notably,</w:t>
      </w:r>
      <w:r w:rsidR="002F503A" w:rsidRPr="002F503A">
        <w:t xml:space="preserve"> </w:t>
      </w:r>
      <w:r w:rsidR="002F503A">
        <w:t>high-tech or R&amp;D-intensive activities, agriculture and renewable energy</w:t>
      </w:r>
      <w:r w:rsidR="00285101">
        <w:t xml:space="preserve">. </w:t>
      </w:r>
      <w:r w:rsidR="001D4FA9">
        <w:t xml:space="preserve">These incentives are predominantly profit-based, offering </w:t>
      </w:r>
      <w:r w:rsidR="00315F62">
        <w:t>slashed corporate taxes</w:t>
      </w:r>
      <w:r w:rsidR="001D4FA9">
        <w:t xml:space="preserve"> to qualifying investors in designated locations </w:t>
      </w:r>
      <w:r w:rsidR="00315F62">
        <w:t>or that engage in specific activities</w:t>
      </w:r>
      <w:r w:rsidR="00102954">
        <w:t>, typically (but not always) for a defined period of time</w:t>
      </w:r>
      <w:r w:rsidR="00315F62">
        <w:t xml:space="preserve"> (Table 4.2). In some cases (e.g. </w:t>
      </w:r>
      <w:r w:rsidR="00102954">
        <w:t xml:space="preserve">for agricultural production) an expiration date for the incentive (or sunset clause) is prescribed by law. A major attraction of the expiry date is that it provides a natural point of evaluation in terms of whether the incentive should be continued, reformed or repealed. Incentives with an end-date have been found to generate a larger investment effect than those with no sunset clause </w:t>
      </w:r>
      <w:r w:rsidR="004B1767" w:rsidRPr="0091662F">
        <w:rPr>
          <w:noProof/>
        </w:rPr>
        <w:t>(IMF-OECD-UN-World Bank, 2015)</w:t>
      </w:r>
      <w:r w:rsidR="00102954">
        <w:t>. The drawback is that expiry dates can be amended</w:t>
      </w:r>
      <w:r w:rsidR="002342FC">
        <w:t>,</w:t>
      </w:r>
      <w:r w:rsidR="00102954">
        <w:t xml:space="preserve"> as has often been the case in the region, making temporary tax exemptions, de facto permanent ones.</w:t>
      </w:r>
      <w:r w:rsidR="00441DDA">
        <w:t xml:space="preserve"> Importantly, any changes to policy end-dates should be consolidated within the tax code to avoid uncertainty for investors in terms of which incentives are valid at any given moment.</w:t>
      </w:r>
    </w:p>
    <w:p w14:paraId="702E1E6F" w14:textId="7496F522" w:rsidR="004B77D0" w:rsidRDefault="004B77D0" w:rsidP="004B77D0">
      <w:pPr>
        <w:pStyle w:val="Para0"/>
      </w:pPr>
      <w:r>
        <w:t xml:space="preserve">For relatively small transition economies, innovation and technological upgrading is vital for remaining competitive and becoming an attractive business destination. With the exception of Ukraine, all countries in the region engage in aggressive tax competition for high-tech investments, both within and outside designated zones. Investors in high-tech parks are exempt from CIT for seven years in Azerbaijan, and permanently in Belarus, for instance. Outside of the zones, Belarus also offers a full exemption or reduced CIT rate of 10% to high-tech investors, depending on the share of revenue earned from high-tech goods. Armenia offers a five year CIT holiday and subsequent 50% reduced rate to high-tech start-ups (employing less than 30 staff). In Georgia, IT service providers are exempt from CIT on exported services, and subject to a reduced dividend tax on earnings distributed overseas. Armenia, Georgia and Moldova also offer CIT deductions on R&amp;D expenses to all investors, which are considered to be less detrimental to fiscal budgets and in line with good practice. In Ukraine, industry incentives targeting the development of the IT sector were repealed in 2015 </w:t>
      </w:r>
      <w:r>
        <w:rPr>
          <w:noProof/>
        </w:rPr>
        <w:t>(OECD, 2016)</w:t>
      </w:r>
      <w:r>
        <w:t>. However, import duty exemption</w:t>
      </w:r>
      <w:r w:rsidR="00142433">
        <w:t>s</w:t>
      </w:r>
      <w:r>
        <w:t xml:space="preserve"> continue to be offered for equipment and raw materials import for nanotechnology industries.</w:t>
      </w:r>
    </w:p>
    <w:p w14:paraId="1E19019E" w14:textId="77777777" w:rsidR="004B77D0" w:rsidRDefault="004B77D0" w:rsidP="004B77D0">
      <w:pPr>
        <w:pStyle w:val="Para0"/>
      </w:pPr>
      <w:r>
        <w:t xml:space="preserve">Modernisation and expansion of agricultural production are also a policy priority for many countries in the region, and investment in the sector receives favourable tax treatment in all countries except Belarus. In particular, profits obtained from agricultural </w:t>
      </w:r>
      <w:r>
        <w:lastRenderedPageBreak/>
        <w:t xml:space="preserve">production are exempt from CIT (subject to sunset clauses) in Armenia, Azerbaijan and Georgia. </w:t>
      </w:r>
      <w:r w:rsidRPr="003D11BD">
        <w:t xml:space="preserve">In Armenia, enterprises that </w:t>
      </w:r>
      <w:r>
        <w:t>earn</w:t>
      </w:r>
      <w:r w:rsidRPr="003D11BD">
        <w:t xml:space="preserve"> 90% or more of their revenue from agricultural </w:t>
      </w:r>
      <w:r>
        <w:t>sales</w:t>
      </w:r>
      <w:r w:rsidRPr="003D11BD">
        <w:t xml:space="preserve"> receive a tax holiday until the end of 2024. Azerbaijan has provided tax benefits to </w:t>
      </w:r>
      <w:r>
        <w:t>the sector</w:t>
      </w:r>
      <w:r w:rsidRPr="003D11BD">
        <w:t xml:space="preserve"> since 2001, exempting agricultural producers from all but land taxes </w:t>
      </w:r>
      <w:r>
        <w:t xml:space="preserve">(in addition to </w:t>
      </w:r>
      <w:r w:rsidRPr="003D11BD">
        <w:t>subsidi</w:t>
      </w:r>
      <w:r>
        <w:t>sing</w:t>
      </w:r>
      <w:r w:rsidRPr="003D11BD">
        <w:t xml:space="preserve"> </w:t>
      </w:r>
      <w:r>
        <w:t>certain agricultural</w:t>
      </w:r>
      <w:r w:rsidRPr="003D11BD">
        <w:t xml:space="preserve"> inputs</w:t>
      </w:r>
      <w:r>
        <w:t>)</w:t>
      </w:r>
      <w:r w:rsidRPr="003D11BD">
        <w:t xml:space="preserve"> until the end of 2024. Georgia limit</w:t>
      </w:r>
      <w:r>
        <w:t>s preferential tax treatment</w:t>
      </w:r>
      <w:r w:rsidRPr="003D11BD">
        <w:t xml:space="preserve"> to small</w:t>
      </w:r>
      <w:r>
        <w:t>-holder farmers</w:t>
      </w:r>
      <w:r w:rsidRPr="003D11BD">
        <w:t xml:space="preserve"> and revenues obtained by agricultural cooperative</w:t>
      </w:r>
      <w:r>
        <w:t>s</w:t>
      </w:r>
      <w:r w:rsidRPr="003D11BD">
        <w:t>.</w:t>
      </w:r>
      <w:r>
        <w:t xml:space="preserve"> In Moldova, farming enterprises pay a permanently reduced CIT rate of 7%. Eligible producers in Ukraine (earning at least 75% of revenues from agricultural products) are entitled to one of two favourable tax regime: either a single unified tax on sales (the </w:t>
      </w:r>
      <w:r w:rsidRPr="00F2589F">
        <w:t>Fixed Agricultural Tax</w:t>
      </w:r>
      <w:r>
        <w:t xml:space="preserve">) or a reduced CIT rate linked to the size of the agricultural land plot owned or rented </w:t>
      </w:r>
      <w:r>
        <w:rPr>
          <w:noProof/>
        </w:rPr>
        <w:t>(PwC, 2019)</w:t>
      </w:r>
      <w:r>
        <w:t>.</w:t>
      </w:r>
    </w:p>
    <w:p w14:paraId="716DEAB1" w14:textId="567A26DA" w:rsidR="00E5198E" w:rsidRDefault="00E5198E" w:rsidP="00E5198E">
      <w:pPr>
        <w:pStyle w:val="Caption"/>
      </w:pPr>
      <w:bookmarkStart w:id="122" w:name="_Toc31983267"/>
      <w:bookmarkStart w:id="123" w:name="_Toc33443319"/>
      <w:r>
        <w:t xml:space="preserve">Table </w:t>
      </w:r>
      <w:fldSimple w:instr=" STYLEREF 1 \s ">
        <w:r w:rsidR="00DC4D16">
          <w:rPr>
            <w:noProof/>
          </w:rPr>
          <w:t>4</w:t>
        </w:r>
      </w:fldSimple>
      <w:r>
        <w:t>.</w:t>
      </w:r>
      <w:r>
        <w:rPr>
          <w:noProof/>
        </w:rPr>
        <w:fldChar w:fldCharType="begin"/>
      </w:r>
      <w:r>
        <w:rPr>
          <w:noProof/>
        </w:rPr>
        <w:instrText xml:space="preserve"> SEQ Table \* ARABIC \s 1 </w:instrText>
      </w:r>
      <w:r>
        <w:rPr>
          <w:noProof/>
        </w:rPr>
        <w:fldChar w:fldCharType="separate"/>
      </w:r>
      <w:r w:rsidR="00DC4D16">
        <w:rPr>
          <w:noProof/>
        </w:rPr>
        <w:t>2</w:t>
      </w:r>
      <w:r>
        <w:rPr>
          <w:noProof/>
        </w:rPr>
        <w:fldChar w:fldCharType="end"/>
      </w:r>
      <w:r>
        <w:t xml:space="preserve">. Overview of investment incentives in </w:t>
      </w:r>
      <w:r w:rsidR="00CE3899">
        <w:t>EaP countries</w:t>
      </w:r>
      <w:bookmarkEnd w:id="122"/>
      <w:bookmarkEnd w:id="123"/>
    </w:p>
    <w:tbl>
      <w:tblPr>
        <w:tblW w:w="7940" w:type="dxa"/>
        <w:jc w:val="center"/>
        <w:tblLayout w:type="fixed"/>
        <w:tblLook w:val="04A0" w:firstRow="1" w:lastRow="0" w:firstColumn="1" w:lastColumn="0" w:noHBand="0" w:noVBand="1"/>
      </w:tblPr>
      <w:tblGrid>
        <w:gridCol w:w="454"/>
        <w:gridCol w:w="1054"/>
        <w:gridCol w:w="1071"/>
        <w:gridCol w:w="1077"/>
        <w:gridCol w:w="1071"/>
        <w:gridCol w:w="1071"/>
        <w:gridCol w:w="1071"/>
        <w:gridCol w:w="1071"/>
      </w:tblGrid>
      <w:tr w:rsidR="00E5198E" w:rsidRPr="009629F8" w14:paraId="2339448C" w14:textId="77777777" w:rsidTr="005C4828">
        <w:trPr>
          <w:cantSplit/>
          <w:trHeight w:val="397"/>
          <w:jc w:val="center"/>
        </w:trPr>
        <w:tc>
          <w:tcPr>
            <w:tcW w:w="454" w:type="dxa"/>
            <w:tcBorders>
              <w:top w:val="single" w:sz="12" w:space="0" w:color="548DD4" w:themeColor="text2" w:themeTint="99"/>
              <w:bottom w:val="single" w:sz="4" w:space="0" w:color="FFFFFF" w:themeColor="background1"/>
            </w:tcBorders>
            <w:shd w:val="clear" w:color="auto" w:fill="1F497D" w:themeFill="text2"/>
            <w:textDirection w:val="tbRl"/>
            <w:vAlign w:val="bottom"/>
          </w:tcPr>
          <w:p w14:paraId="20D18BF4" w14:textId="77777777" w:rsidR="00E5198E" w:rsidRPr="004C63EE" w:rsidRDefault="00E5198E" w:rsidP="009F0391">
            <w:pPr>
              <w:pStyle w:val="TableCell"/>
              <w:ind w:left="113" w:right="113"/>
              <w:jc w:val="center"/>
              <w:rPr>
                <w:lang w:eastAsia="en-GB"/>
              </w:rPr>
            </w:pPr>
          </w:p>
        </w:tc>
        <w:tc>
          <w:tcPr>
            <w:tcW w:w="1054" w:type="dxa"/>
            <w:tcBorders>
              <w:top w:val="single" w:sz="12" w:space="0" w:color="548DD4" w:themeColor="text2" w:themeTint="99"/>
              <w:bottom w:val="single" w:sz="4" w:space="0" w:color="FFFFFF" w:themeColor="background1"/>
            </w:tcBorders>
            <w:shd w:val="clear" w:color="auto" w:fill="1F497D" w:themeFill="text2"/>
            <w:noWrap/>
            <w:vAlign w:val="center"/>
            <w:hideMark/>
          </w:tcPr>
          <w:p w14:paraId="21F2C8AA" w14:textId="77777777" w:rsidR="00E5198E" w:rsidRPr="004C63EE" w:rsidRDefault="00E5198E" w:rsidP="009F0391">
            <w:pPr>
              <w:pStyle w:val="TableCell"/>
              <w:jc w:val="left"/>
            </w:pPr>
            <w:r w:rsidRPr="004C63EE">
              <w:rPr>
                <w:lang w:eastAsia="en-GB"/>
              </w:rPr>
              <w:t> </w:t>
            </w:r>
          </w:p>
        </w:tc>
        <w:tc>
          <w:tcPr>
            <w:tcW w:w="1071" w:type="dxa"/>
            <w:tcBorders>
              <w:top w:val="single" w:sz="12" w:space="0" w:color="548DD4" w:themeColor="text2" w:themeTint="99"/>
              <w:bottom w:val="single" w:sz="4" w:space="0" w:color="FFFFFF" w:themeColor="background1"/>
              <w:right w:val="single" w:sz="4" w:space="0" w:color="FFFFFF" w:themeColor="background1"/>
            </w:tcBorders>
            <w:shd w:val="clear" w:color="auto" w:fill="1F497D" w:themeFill="text2"/>
            <w:noWrap/>
            <w:vAlign w:val="center"/>
            <w:hideMark/>
          </w:tcPr>
          <w:p w14:paraId="7A08DDFF"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Armenia</w:t>
            </w:r>
          </w:p>
        </w:tc>
        <w:tc>
          <w:tcPr>
            <w:tcW w:w="1077" w:type="dxa"/>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41398156"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Azerbaijan</w:t>
            </w:r>
          </w:p>
        </w:tc>
        <w:tc>
          <w:tcPr>
            <w:tcW w:w="1071" w:type="dxa"/>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5623AA44"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Belarus</w:t>
            </w:r>
          </w:p>
        </w:tc>
        <w:tc>
          <w:tcPr>
            <w:tcW w:w="1071" w:type="dxa"/>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3147CD5E"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Georgia</w:t>
            </w:r>
          </w:p>
        </w:tc>
        <w:tc>
          <w:tcPr>
            <w:tcW w:w="1071" w:type="dxa"/>
            <w:tcBorders>
              <w:top w:val="single" w:sz="12" w:space="0" w:color="548DD4" w:themeColor="text2" w:themeTint="99"/>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2A9E60BF"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Moldova</w:t>
            </w:r>
          </w:p>
        </w:tc>
        <w:tc>
          <w:tcPr>
            <w:tcW w:w="1071" w:type="dxa"/>
            <w:tcBorders>
              <w:top w:val="single" w:sz="12" w:space="0" w:color="548DD4" w:themeColor="text2" w:themeTint="99"/>
              <w:left w:val="single" w:sz="4" w:space="0" w:color="FFFFFF" w:themeColor="background1"/>
              <w:bottom w:val="single" w:sz="4" w:space="0" w:color="FFFFFF" w:themeColor="background1"/>
            </w:tcBorders>
            <w:shd w:val="clear" w:color="auto" w:fill="1F497D" w:themeFill="text2"/>
            <w:noWrap/>
            <w:vAlign w:val="center"/>
            <w:hideMark/>
          </w:tcPr>
          <w:p w14:paraId="18F251D0" w14:textId="77777777" w:rsidR="00E5198E" w:rsidRPr="00FC67EB" w:rsidRDefault="00E5198E" w:rsidP="009F0391">
            <w:pPr>
              <w:pStyle w:val="TableColumn"/>
              <w:rPr>
                <w:b/>
                <w:color w:val="FFFFFF" w:themeColor="background1"/>
                <w:lang w:eastAsia="en-GB"/>
              </w:rPr>
            </w:pPr>
            <w:r w:rsidRPr="00FC67EB">
              <w:rPr>
                <w:b/>
                <w:color w:val="FFFFFF" w:themeColor="background1"/>
                <w:lang w:eastAsia="en-GB"/>
              </w:rPr>
              <w:t>Ukraine</w:t>
            </w:r>
          </w:p>
        </w:tc>
      </w:tr>
      <w:tr w:rsidR="00E5198E" w:rsidRPr="009629F8" w14:paraId="5DAF0270" w14:textId="77777777" w:rsidTr="00D071DC">
        <w:trPr>
          <w:cantSplit/>
          <w:trHeight w:val="20"/>
          <w:jc w:val="center"/>
        </w:trPr>
        <w:tc>
          <w:tcPr>
            <w:tcW w:w="454" w:type="dxa"/>
            <w:vMerge w:val="restart"/>
            <w:tcBorders>
              <w:top w:val="single" w:sz="4" w:space="0" w:color="FFFFFF" w:themeColor="background1"/>
              <w:right w:val="single" w:sz="4" w:space="0" w:color="FFFFFF" w:themeColor="background1"/>
            </w:tcBorders>
            <w:shd w:val="clear" w:color="auto" w:fill="1F497D" w:themeFill="text2"/>
            <w:noWrap/>
            <w:textDirection w:val="btLr"/>
            <w:vAlign w:val="center"/>
            <w:hideMark/>
          </w:tcPr>
          <w:p w14:paraId="67077A3C" w14:textId="77777777" w:rsidR="00E5198E" w:rsidRPr="00FC67EB" w:rsidRDefault="00E5198E" w:rsidP="009F0391">
            <w:pPr>
              <w:pStyle w:val="TableCell"/>
              <w:ind w:left="113" w:right="113"/>
              <w:jc w:val="center"/>
              <w:rPr>
                <w:b/>
                <w:color w:val="FFFFFF" w:themeColor="background1"/>
                <w:lang w:eastAsia="en-GB"/>
              </w:rPr>
            </w:pPr>
            <w:r w:rsidRPr="00FC67EB">
              <w:rPr>
                <w:b/>
                <w:color w:val="FFFFFF" w:themeColor="background1"/>
                <w:lang w:eastAsia="en-GB"/>
              </w:rPr>
              <w:t>Location</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14:paraId="24E945A9" w14:textId="77777777" w:rsidR="00E5198E" w:rsidRPr="00CC5BDC" w:rsidRDefault="00E5198E" w:rsidP="009F0391">
            <w:pPr>
              <w:pStyle w:val="TableRow"/>
              <w:rPr>
                <w:color w:val="FFFFFF" w:themeColor="background1"/>
              </w:rPr>
            </w:pPr>
            <w:r w:rsidRPr="00CC5BDC">
              <w:rPr>
                <w:color w:val="FFFFFF" w:themeColor="background1"/>
              </w:rPr>
              <w:t>Regional Development</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24223385" w14:textId="77777777" w:rsidR="00E5198E" w:rsidRPr="009629F8" w:rsidRDefault="00E5198E" w:rsidP="009F0391">
            <w:pPr>
              <w:pStyle w:val="TableColumn"/>
            </w:pPr>
            <w:r>
              <w:t>CIT &amp; VAT exemption (SMEs only)</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hideMark/>
          </w:tcPr>
          <w:p w14:paraId="4F1F47F6" w14:textId="77777777" w:rsidR="00E5198E" w:rsidRPr="009629F8" w:rsidRDefault="00E5198E" w:rsidP="009F0391">
            <w:pPr>
              <w:pStyle w:val="TableColumn"/>
            </w:pP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7E188F9D" w14:textId="49831208" w:rsidR="00E5198E" w:rsidRDefault="00E5198E" w:rsidP="009F0391">
            <w:pPr>
              <w:pStyle w:val="TableColumn"/>
            </w:pPr>
            <w:r>
              <w:t>CIT</w:t>
            </w:r>
            <w:r w:rsidRPr="009629F8">
              <w:t xml:space="preserve"> </w:t>
            </w:r>
            <w:r>
              <w:t xml:space="preserve">&amp; </w:t>
            </w:r>
            <w:r w:rsidR="002923E9">
              <w:t>property</w:t>
            </w:r>
            <w:r w:rsidRPr="009629F8">
              <w:t xml:space="preserve"> </w:t>
            </w:r>
            <w:r>
              <w:t>t</w:t>
            </w:r>
            <w:r w:rsidRPr="009629F8">
              <w:t xml:space="preserve">ax </w:t>
            </w:r>
            <w:r>
              <w:t>h</w:t>
            </w:r>
            <w:r w:rsidRPr="009629F8">
              <w:t>oliday</w:t>
            </w:r>
          </w:p>
          <w:p w14:paraId="0F4A85C8" w14:textId="1F3B4028" w:rsidR="00E5198E" w:rsidRPr="009629F8" w:rsidRDefault="002923E9" w:rsidP="009F0391">
            <w:pPr>
              <w:pStyle w:val="TableColumn"/>
            </w:pPr>
            <w:r>
              <w:t>(7</w:t>
            </w:r>
            <w:r w:rsidR="00E5198E">
              <w:t xml:space="preserve"> years)</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38FAF3FE" w14:textId="77777777" w:rsidR="00E5198E" w:rsidRDefault="00E5198E" w:rsidP="009F0391">
            <w:pPr>
              <w:pStyle w:val="TableColumn"/>
            </w:pPr>
            <w:r>
              <w:t>CIT</w:t>
            </w:r>
            <w:r w:rsidRPr="009629F8">
              <w:t xml:space="preserve"> Holiday</w:t>
            </w:r>
          </w:p>
          <w:p w14:paraId="0E6F22CE" w14:textId="77777777" w:rsidR="00E5198E" w:rsidRPr="009629F8" w:rsidRDefault="00E5198E" w:rsidP="009F0391">
            <w:pPr>
              <w:pStyle w:val="TableColumn"/>
            </w:pPr>
            <w:r>
              <w:t>(10 years)</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896EFE8" w14:textId="77777777" w:rsidR="00E5198E" w:rsidRPr="009629F8" w:rsidRDefault="00E5198E" w:rsidP="009F0391">
            <w:pPr>
              <w:pStyle w:val="TableColumn"/>
            </w:pP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FFFFFF" w:themeFill="background1"/>
            <w:vAlign w:val="center"/>
          </w:tcPr>
          <w:p w14:paraId="317E8487" w14:textId="77777777" w:rsidR="00E5198E" w:rsidRPr="009629F8" w:rsidRDefault="00E5198E" w:rsidP="009F0391">
            <w:pPr>
              <w:pStyle w:val="TableColumn"/>
            </w:pPr>
            <w:r w:rsidRPr="009629F8">
              <w:t> </w:t>
            </w:r>
          </w:p>
        </w:tc>
      </w:tr>
      <w:tr w:rsidR="00E5198E" w:rsidRPr="009629F8" w14:paraId="17CF6EE1" w14:textId="77777777" w:rsidTr="00D071DC">
        <w:trPr>
          <w:cantSplit/>
          <w:trHeight w:val="20"/>
          <w:jc w:val="center"/>
        </w:trPr>
        <w:tc>
          <w:tcPr>
            <w:tcW w:w="454" w:type="dxa"/>
            <w:vMerge/>
            <w:tcBorders>
              <w:bottom w:val="single" w:sz="4" w:space="0" w:color="FFFFFF" w:themeColor="background1"/>
              <w:right w:val="single" w:sz="4" w:space="0" w:color="FFFFFF" w:themeColor="background1"/>
            </w:tcBorders>
            <w:shd w:val="clear" w:color="auto" w:fill="1F497D" w:themeFill="text2"/>
            <w:noWrap/>
            <w:textDirection w:val="btLr"/>
          </w:tcPr>
          <w:p w14:paraId="1DFD62E6" w14:textId="77777777" w:rsidR="00E5198E" w:rsidRPr="00FC67EB" w:rsidRDefault="00E5198E" w:rsidP="009F0391">
            <w:pPr>
              <w:pStyle w:val="TableCell"/>
              <w:ind w:left="113" w:right="113"/>
              <w:jc w:val="both"/>
              <w:rPr>
                <w:b/>
                <w:color w:val="FFFFFF" w:themeColor="background1"/>
                <w:lang w:eastAsia="en-GB"/>
              </w:rPr>
            </w:pP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1CC7CDB9" w14:textId="7260CFAD" w:rsidR="00E5198E" w:rsidRPr="00CC5BDC" w:rsidRDefault="00924C42" w:rsidP="009F0391">
            <w:pPr>
              <w:pStyle w:val="TableRow"/>
              <w:rPr>
                <w:color w:val="FFFFFF" w:themeColor="background1"/>
              </w:rPr>
            </w:pPr>
            <w:r>
              <w:rPr>
                <w:color w:val="FFFFFF" w:themeColor="background1"/>
              </w:rPr>
              <w:t>SEZs</w:t>
            </w:r>
            <w:r w:rsidR="00DA556E">
              <w:rPr>
                <w:color w:val="FFFFFF" w:themeColor="background1"/>
              </w:rPr>
              <w:t xml:space="preserve"> and industrial parks</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382C0694" w14:textId="77777777" w:rsidR="00E5198E" w:rsidRPr="009629F8" w:rsidRDefault="00E5198E" w:rsidP="009F0391">
            <w:pPr>
              <w:pStyle w:val="TableColumn"/>
            </w:pPr>
            <w:r w:rsidRPr="00810450">
              <w:t>CIT</w:t>
            </w:r>
            <w:r>
              <w:t>,</w:t>
            </w:r>
            <w:r w:rsidRPr="00810450">
              <w:t xml:space="preserve"> </w:t>
            </w:r>
            <w:r>
              <w:t>property t</w:t>
            </w:r>
            <w:r w:rsidRPr="00810450">
              <w:t>ax</w:t>
            </w:r>
            <w:r>
              <w:t>, t</w:t>
            </w:r>
            <w:r w:rsidRPr="00810450">
              <w:t xml:space="preserve">rade </w:t>
            </w:r>
            <w:r>
              <w:t>t</w:t>
            </w:r>
            <w:r w:rsidRPr="00810450">
              <w:t xml:space="preserve">ax </w:t>
            </w:r>
            <w:r>
              <w:t>e</w:t>
            </w:r>
            <w:r w:rsidRPr="00810450">
              <w:t>xemption</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0C05237A" w14:textId="77777777" w:rsidR="00E5198E" w:rsidRDefault="00E5198E" w:rsidP="009F0391">
            <w:pPr>
              <w:pStyle w:val="TableColumn"/>
            </w:pPr>
            <w:r>
              <w:t>CIT, property &amp; land tax holiday</w:t>
            </w:r>
          </w:p>
          <w:p w14:paraId="3C2EAC47" w14:textId="77777777" w:rsidR="00E5198E" w:rsidRPr="009629F8" w:rsidRDefault="00E5198E" w:rsidP="009F0391">
            <w:pPr>
              <w:pStyle w:val="TableColumn"/>
            </w:pPr>
            <w:r>
              <w:t>(7 years); trade tax e</w:t>
            </w:r>
            <w:r w:rsidRPr="00754075">
              <w:t>xemption </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6593F908" w14:textId="77777777" w:rsidR="00E5198E" w:rsidRDefault="00E5198E" w:rsidP="009F0391">
            <w:pPr>
              <w:pStyle w:val="TableColumn"/>
            </w:pPr>
            <w:r w:rsidRPr="00810450">
              <w:t>CIT</w:t>
            </w:r>
            <w:r>
              <w:t>,</w:t>
            </w:r>
            <w:r w:rsidRPr="00810450">
              <w:t xml:space="preserve"> </w:t>
            </w:r>
            <w:r>
              <w:t>property t</w:t>
            </w:r>
            <w:r w:rsidRPr="00810450">
              <w:t>ax</w:t>
            </w:r>
            <w:r>
              <w:t>, t</w:t>
            </w:r>
            <w:r w:rsidRPr="00810450">
              <w:t xml:space="preserve">rade </w:t>
            </w:r>
            <w:r>
              <w:t>t</w:t>
            </w:r>
            <w:r w:rsidRPr="00810450">
              <w:t xml:space="preserve">ax </w:t>
            </w:r>
            <w:r>
              <w:t>e</w:t>
            </w:r>
            <w:r w:rsidRPr="00810450">
              <w:t>xemption</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78C58E8E" w14:textId="77777777" w:rsidR="00E5198E" w:rsidRDefault="00E5198E" w:rsidP="009F0391">
            <w:pPr>
              <w:pStyle w:val="TableColumn"/>
            </w:pPr>
            <w:r w:rsidRPr="00810450">
              <w:t>CIT</w:t>
            </w:r>
            <w:r>
              <w:t>,</w:t>
            </w:r>
            <w:r w:rsidRPr="00810450">
              <w:t xml:space="preserve"> </w:t>
            </w:r>
            <w:r>
              <w:t>property t</w:t>
            </w:r>
            <w:r w:rsidRPr="00810450">
              <w:t>ax</w:t>
            </w:r>
            <w:r>
              <w:t>, t</w:t>
            </w:r>
            <w:r w:rsidRPr="00810450">
              <w:t xml:space="preserve">rade </w:t>
            </w:r>
            <w:r>
              <w:t>t</w:t>
            </w:r>
            <w:r w:rsidRPr="00810450">
              <w:t xml:space="preserve">ax </w:t>
            </w:r>
            <w:r>
              <w:t>e</w:t>
            </w:r>
            <w:r w:rsidRPr="00810450">
              <w:t>xemption</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4DFAD7F1" w14:textId="77777777" w:rsidR="00E5198E" w:rsidRPr="009629F8" w:rsidRDefault="00E5198E" w:rsidP="009F0391">
            <w:pPr>
              <w:pStyle w:val="TableColumn"/>
            </w:pPr>
            <w:r w:rsidRPr="00754075">
              <w:t xml:space="preserve">CIT </w:t>
            </w:r>
            <w:r>
              <w:t>holiday (5 years); 50% reduced CIT rate; t</w:t>
            </w:r>
            <w:r w:rsidRPr="00754075">
              <w:t xml:space="preserve">rade </w:t>
            </w:r>
            <w:r>
              <w:t>t</w:t>
            </w:r>
            <w:r w:rsidRPr="00754075">
              <w:t xml:space="preserve">ax </w:t>
            </w:r>
            <w:r>
              <w:t>e</w:t>
            </w:r>
            <w:r w:rsidRPr="00754075">
              <w:t>xemption </w:t>
            </w: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FFFFFF" w:themeFill="background1"/>
            <w:vAlign w:val="center"/>
          </w:tcPr>
          <w:p w14:paraId="2B3B2A38" w14:textId="77777777" w:rsidR="00E5198E" w:rsidRPr="009629F8" w:rsidRDefault="00E5198E" w:rsidP="009F0391">
            <w:pPr>
              <w:pStyle w:val="TableColumn"/>
            </w:pPr>
          </w:p>
        </w:tc>
      </w:tr>
      <w:tr w:rsidR="00E5198E" w:rsidRPr="009629F8" w14:paraId="6CFE2AB1" w14:textId="77777777" w:rsidTr="00D071DC">
        <w:trPr>
          <w:trHeight w:val="20"/>
          <w:jc w:val="center"/>
        </w:trPr>
        <w:tc>
          <w:tcPr>
            <w:tcW w:w="454" w:type="dxa"/>
            <w:vMerge w:val="restart"/>
            <w:tcBorders>
              <w:top w:val="single" w:sz="4" w:space="0" w:color="FFFFFF" w:themeColor="background1"/>
              <w:bottom w:val="single" w:sz="4" w:space="0" w:color="FFFFFF" w:themeColor="background1"/>
              <w:right w:val="single" w:sz="4" w:space="0" w:color="FFFFFF" w:themeColor="background1"/>
            </w:tcBorders>
            <w:shd w:val="clear" w:color="auto" w:fill="1F497D" w:themeFill="text2"/>
            <w:textDirection w:val="btLr"/>
            <w:hideMark/>
          </w:tcPr>
          <w:p w14:paraId="0BDD5AA0" w14:textId="77777777" w:rsidR="00E5198E" w:rsidRPr="00FC67EB" w:rsidRDefault="00E5198E" w:rsidP="009F0391">
            <w:pPr>
              <w:pStyle w:val="TableCell"/>
              <w:ind w:left="113" w:right="113"/>
              <w:jc w:val="center"/>
              <w:rPr>
                <w:b/>
                <w:color w:val="FFFFFF" w:themeColor="background1"/>
                <w:lang w:eastAsia="en-GB"/>
              </w:rPr>
            </w:pPr>
            <w:r w:rsidRPr="00FC67EB">
              <w:rPr>
                <w:b/>
                <w:color w:val="FFFFFF" w:themeColor="background1"/>
                <w:lang w:eastAsia="en-GB"/>
              </w:rPr>
              <w:t>Sector</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14:paraId="45EA5808" w14:textId="77777777" w:rsidR="00E5198E" w:rsidRPr="00CC5BDC" w:rsidRDefault="00E5198E" w:rsidP="009F0391">
            <w:pPr>
              <w:pStyle w:val="TableRow"/>
              <w:rPr>
                <w:color w:val="FFFFFF" w:themeColor="background1"/>
              </w:rPr>
            </w:pPr>
            <w:r>
              <w:rPr>
                <w:color w:val="FFFFFF" w:themeColor="background1"/>
              </w:rPr>
              <w:t>High-tech/ IT</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4A4015AE" w14:textId="77777777" w:rsidR="00E5198E" w:rsidRDefault="00E5198E" w:rsidP="009F0391">
            <w:pPr>
              <w:pStyle w:val="TableColumn"/>
            </w:pPr>
            <w:r>
              <w:t>CIT</w:t>
            </w:r>
            <w:r w:rsidRPr="009629F8">
              <w:t xml:space="preserve"> </w:t>
            </w:r>
            <w:r>
              <w:t>h</w:t>
            </w:r>
            <w:r w:rsidRPr="009629F8">
              <w:t>oliday</w:t>
            </w:r>
            <w:r>
              <w:t xml:space="preserve"> </w:t>
            </w:r>
          </w:p>
          <w:p w14:paraId="178C87D5" w14:textId="77777777" w:rsidR="00E5198E" w:rsidRPr="009629F8" w:rsidRDefault="00E5198E" w:rsidP="009F0391">
            <w:pPr>
              <w:pStyle w:val="TableColumn"/>
            </w:pPr>
            <w:r>
              <w:t xml:space="preserve">(5 years) </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0543C522" w14:textId="77777777" w:rsidR="00E5198E" w:rsidRPr="009629F8" w:rsidRDefault="00E5198E" w:rsidP="009F0391">
            <w:pPr>
              <w:pStyle w:val="TableColumn"/>
            </w:pP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13EE5929" w14:textId="77777777" w:rsidR="00E5198E" w:rsidRPr="009629F8" w:rsidRDefault="00E5198E" w:rsidP="009F0391">
            <w:pPr>
              <w:pStyle w:val="TableColumn"/>
            </w:pPr>
            <w:r w:rsidRPr="009629F8">
              <w:t xml:space="preserve">CIT </w:t>
            </w:r>
            <w:r>
              <w:t>e</w:t>
            </w:r>
            <w:r w:rsidRPr="009629F8">
              <w:t>xem</w:t>
            </w:r>
            <w:r>
              <w:t>ption or reduced CIT (10% rate)</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39DF2906" w14:textId="77777777" w:rsidR="00E5198E" w:rsidRPr="009629F8" w:rsidRDefault="00E5198E" w:rsidP="009F0391">
            <w:pPr>
              <w:pStyle w:val="TableColumn"/>
            </w:pPr>
            <w:r w:rsidRPr="009629F8">
              <w:t> </w:t>
            </w:r>
            <w:r>
              <w:t>Reduced CIT (15% rate) and VAT</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hideMark/>
          </w:tcPr>
          <w:p w14:paraId="4135AEAF" w14:textId="77777777" w:rsidR="00E5198E" w:rsidRPr="009629F8" w:rsidRDefault="00E5198E" w:rsidP="009F0391">
            <w:pPr>
              <w:pStyle w:val="TableColumn"/>
            </w:pP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vAlign w:val="center"/>
            <w:hideMark/>
          </w:tcPr>
          <w:p w14:paraId="437B51CE" w14:textId="77777777" w:rsidR="00E5198E" w:rsidRPr="009629F8" w:rsidRDefault="00E5198E" w:rsidP="009F0391">
            <w:pPr>
              <w:pStyle w:val="TableColumn"/>
            </w:pPr>
            <w:r>
              <w:t>Trade tax e</w:t>
            </w:r>
            <w:r w:rsidRPr="009629F8">
              <w:t>xemption </w:t>
            </w:r>
          </w:p>
        </w:tc>
      </w:tr>
      <w:tr w:rsidR="00E5198E" w:rsidRPr="009629F8" w14:paraId="6ABF611D" w14:textId="77777777" w:rsidTr="00D071DC">
        <w:trPr>
          <w:trHeight w:val="20"/>
          <w:jc w:val="center"/>
        </w:trPr>
        <w:tc>
          <w:tcPr>
            <w:tcW w:w="454" w:type="dxa"/>
            <w:vMerge/>
            <w:tcBorders>
              <w:top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14:paraId="6DB8C6DA" w14:textId="77777777" w:rsidR="00E5198E" w:rsidRPr="00FC67EB" w:rsidRDefault="00E5198E" w:rsidP="009F0391">
            <w:pPr>
              <w:pStyle w:val="TableCell"/>
              <w:jc w:val="center"/>
              <w:rPr>
                <w:b/>
                <w:color w:val="FFFFFF" w:themeColor="background1"/>
                <w:lang w:eastAsia="en-GB"/>
              </w:rPr>
            </w:pP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14:paraId="64B19174" w14:textId="77777777" w:rsidR="00E5198E" w:rsidRPr="00CC5BDC" w:rsidRDefault="00E5198E" w:rsidP="009F0391">
            <w:pPr>
              <w:pStyle w:val="TableRow"/>
              <w:rPr>
                <w:color w:val="FFFFFF" w:themeColor="background1"/>
              </w:rPr>
            </w:pPr>
            <w:r>
              <w:rPr>
                <w:color w:val="FFFFFF" w:themeColor="background1"/>
              </w:rPr>
              <w:t>Agriculture</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0B25FD83" w14:textId="77777777" w:rsidR="00E5198E" w:rsidRDefault="00E5198E" w:rsidP="009F0391">
            <w:pPr>
              <w:pStyle w:val="TableColumn"/>
            </w:pPr>
            <w:r>
              <w:t> CIT h</w:t>
            </w:r>
            <w:r w:rsidRPr="009629F8">
              <w:t>oliday</w:t>
            </w:r>
          </w:p>
          <w:p w14:paraId="4B7B536B" w14:textId="77777777" w:rsidR="00E5198E" w:rsidRPr="009629F8" w:rsidRDefault="00E5198E" w:rsidP="009F0391">
            <w:pPr>
              <w:pStyle w:val="TableColumn"/>
            </w:pPr>
            <w:r>
              <w:t>(until 2024)</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553C1EFD" w14:textId="77777777" w:rsidR="00E5198E" w:rsidRDefault="00E5198E" w:rsidP="009F0391">
            <w:pPr>
              <w:pStyle w:val="TableColumn"/>
            </w:pPr>
            <w:r w:rsidRPr="009629F8">
              <w:t> </w:t>
            </w:r>
            <w:r>
              <w:t>CIT &amp;</w:t>
            </w:r>
            <w:r w:rsidRPr="009629F8">
              <w:t xml:space="preserve"> VAT </w:t>
            </w:r>
            <w:r>
              <w:t>holiday</w:t>
            </w:r>
            <w:r w:rsidRPr="009629F8">
              <w:t xml:space="preserve">; </w:t>
            </w:r>
            <w:r>
              <w:t>p</w:t>
            </w:r>
            <w:r w:rsidRPr="009629F8">
              <w:t xml:space="preserve">roperty </w:t>
            </w:r>
            <w:r>
              <w:t>t</w:t>
            </w:r>
            <w:r w:rsidRPr="009629F8">
              <w:t xml:space="preserve">ax </w:t>
            </w:r>
            <w:r>
              <w:t>e</w:t>
            </w:r>
            <w:r w:rsidRPr="009629F8">
              <w:t>xemption </w:t>
            </w:r>
          </w:p>
          <w:p w14:paraId="7E7DB80F" w14:textId="77777777" w:rsidR="00E5198E" w:rsidRPr="009629F8" w:rsidRDefault="00E5198E" w:rsidP="009F0391">
            <w:pPr>
              <w:pStyle w:val="TableColumn"/>
            </w:pPr>
            <w:r>
              <w:t>(until 2024)</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380B03B9" w14:textId="77777777" w:rsidR="00E5198E" w:rsidRPr="009629F8" w:rsidRDefault="00E5198E" w:rsidP="009F0391">
            <w:pPr>
              <w:pStyle w:val="TableColumn"/>
            </w:pP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199A95D1" w14:textId="77777777" w:rsidR="00E5198E" w:rsidRDefault="00E5198E" w:rsidP="009F0391">
            <w:pPr>
              <w:pStyle w:val="TableColumn"/>
            </w:pPr>
            <w:r w:rsidRPr="009629F8">
              <w:t> </w:t>
            </w:r>
            <w:r>
              <w:t>CIT</w:t>
            </w:r>
            <w:r w:rsidRPr="009629F8">
              <w:t xml:space="preserve"> Holiday</w:t>
            </w:r>
          </w:p>
          <w:p w14:paraId="5A7242F3" w14:textId="77777777" w:rsidR="00E5198E" w:rsidRPr="009629F8" w:rsidRDefault="00E5198E" w:rsidP="009F0391">
            <w:pPr>
              <w:pStyle w:val="TableColumn"/>
            </w:pPr>
            <w:r>
              <w:t>(until 2023)</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6C7F3DD0" w14:textId="77777777" w:rsidR="00E5198E" w:rsidRDefault="00E5198E" w:rsidP="009F0391">
            <w:pPr>
              <w:pStyle w:val="TableColumn"/>
            </w:pPr>
            <w:r>
              <w:t>50% Reduced</w:t>
            </w:r>
            <w:r w:rsidRPr="009629F8">
              <w:t xml:space="preserve"> CIT </w:t>
            </w:r>
          </w:p>
          <w:p w14:paraId="68735716" w14:textId="77777777" w:rsidR="00E5198E" w:rsidRPr="009629F8" w:rsidRDefault="00E5198E" w:rsidP="009F0391">
            <w:pPr>
              <w:pStyle w:val="TableColumn"/>
            </w:pPr>
            <w:r>
              <w:t>(7% rate)</w:t>
            </w: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vAlign w:val="center"/>
            <w:hideMark/>
          </w:tcPr>
          <w:p w14:paraId="2BE0D104" w14:textId="77777777" w:rsidR="00E5198E" w:rsidRPr="009629F8" w:rsidRDefault="00E5198E" w:rsidP="009F0391">
            <w:pPr>
              <w:pStyle w:val="TableColumn"/>
            </w:pPr>
            <w:r>
              <w:t>Unified tax or</w:t>
            </w:r>
            <w:r w:rsidRPr="009629F8">
              <w:t xml:space="preserve"> CIT deduction</w:t>
            </w:r>
          </w:p>
        </w:tc>
      </w:tr>
      <w:tr w:rsidR="00E5198E" w:rsidRPr="009629F8" w14:paraId="56AEC4CD" w14:textId="77777777" w:rsidTr="00D071DC">
        <w:trPr>
          <w:trHeight w:val="20"/>
          <w:jc w:val="center"/>
        </w:trPr>
        <w:tc>
          <w:tcPr>
            <w:tcW w:w="454" w:type="dxa"/>
            <w:vMerge/>
            <w:tcBorders>
              <w:top w:val="single" w:sz="4" w:space="0" w:color="FFFFFF" w:themeColor="background1"/>
              <w:bottom w:val="single" w:sz="4" w:space="0" w:color="FFFFFF" w:themeColor="background1"/>
              <w:right w:val="single" w:sz="4" w:space="0" w:color="FFFFFF" w:themeColor="background1"/>
            </w:tcBorders>
            <w:shd w:val="clear" w:color="auto" w:fill="1F497D" w:themeFill="text2"/>
            <w:hideMark/>
          </w:tcPr>
          <w:p w14:paraId="4AFD8D7F" w14:textId="77777777" w:rsidR="00E5198E" w:rsidRPr="00FC67EB" w:rsidRDefault="00E5198E" w:rsidP="009F0391">
            <w:pPr>
              <w:pStyle w:val="TableCell"/>
              <w:jc w:val="center"/>
              <w:rPr>
                <w:b/>
                <w:color w:val="FFFFFF" w:themeColor="background1"/>
                <w:lang w:eastAsia="en-GB"/>
              </w:rPr>
            </w:pP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hideMark/>
          </w:tcPr>
          <w:p w14:paraId="7C2A138E" w14:textId="77777777" w:rsidR="00E5198E" w:rsidRPr="00CC5BDC" w:rsidRDefault="00E5198E" w:rsidP="009F0391">
            <w:pPr>
              <w:pStyle w:val="TableRow"/>
              <w:rPr>
                <w:color w:val="FFFFFF" w:themeColor="background1"/>
              </w:rPr>
            </w:pPr>
            <w:r w:rsidRPr="00CC5BDC">
              <w:rPr>
                <w:color w:val="FFFFFF" w:themeColor="background1"/>
              </w:rPr>
              <w:t>Renewable Energy</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753D274B" w14:textId="77777777" w:rsidR="00E5198E" w:rsidRPr="009629F8" w:rsidRDefault="00E5198E" w:rsidP="009F0391">
            <w:pPr>
              <w:pStyle w:val="TableColumn"/>
            </w:pPr>
            <w:r>
              <w:t>CIT e</w:t>
            </w:r>
            <w:r w:rsidRPr="009629F8">
              <w:t>xemption </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46195A10" w14:textId="77777777" w:rsidR="00E5198E" w:rsidRPr="009629F8" w:rsidRDefault="00E5198E" w:rsidP="009F0391">
            <w:pPr>
              <w:pStyle w:val="TableColumn"/>
            </w:pP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55A0EE5B" w14:textId="77777777" w:rsidR="00E5198E" w:rsidRPr="009629F8" w:rsidRDefault="00E5198E" w:rsidP="009F0391">
            <w:pPr>
              <w:pStyle w:val="TableColumn"/>
            </w:pPr>
            <w:r w:rsidRPr="009629F8">
              <w:t xml:space="preserve">VAT </w:t>
            </w:r>
            <w:r>
              <w:t>e</w:t>
            </w:r>
            <w:r w:rsidRPr="009629F8">
              <w:t>xemption</w:t>
            </w:r>
            <w:r>
              <w:t>; reduced trade tax</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19E4EB08" w14:textId="77777777" w:rsidR="00E5198E" w:rsidRPr="009629F8" w:rsidRDefault="00E5198E" w:rsidP="009F0391">
            <w:pPr>
              <w:pStyle w:val="TableColumn"/>
            </w:pP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7E1960CD" w14:textId="77777777" w:rsidR="00E5198E" w:rsidRPr="009629F8" w:rsidRDefault="00E5198E" w:rsidP="009F0391">
            <w:pPr>
              <w:pStyle w:val="TableColumn"/>
            </w:pPr>
            <w:r>
              <w:t>Reduced trade tax, VAT exemption</w:t>
            </w:r>
            <w:r w:rsidRPr="009629F8">
              <w:t> </w:t>
            </w: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vAlign w:val="center"/>
            <w:hideMark/>
          </w:tcPr>
          <w:p w14:paraId="2EA3A2F1" w14:textId="77777777" w:rsidR="00E5198E" w:rsidRPr="009629F8" w:rsidRDefault="00E5198E" w:rsidP="009F0391">
            <w:pPr>
              <w:pStyle w:val="TableColumn"/>
            </w:pPr>
            <w:r w:rsidRPr="009629F8">
              <w:t xml:space="preserve"> CIT </w:t>
            </w:r>
            <w:r>
              <w:t>holiday; t</w:t>
            </w:r>
            <w:r w:rsidRPr="009629F8">
              <w:t xml:space="preserve">rade </w:t>
            </w:r>
            <w:r>
              <w:t>tax e</w:t>
            </w:r>
            <w:r w:rsidRPr="009629F8">
              <w:t>xemption</w:t>
            </w:r>
          </w:p>
        </w:tc>
      </w:tr>
      <w:tr w:rsidR="00E5198E" w:rsidRPr="009629F8" w14:paraId="13DBC2A3" w14:textId="77777777" w:rsidTr="00D071DC">
        <w:trPr>
          <w:trHeight w:val="20"/>
          <w:jc w:val="center"/>
        </w:trPr>
        <w:tc>
          <w:tcPr>
            <w:tcW w:w="454" w:type="dxa"/>
            <w:vMerge w:val="restart"/>
            <w:tcBorders>
              <w:top w:val="single" w:sz="4" w:space="0" w:color="FFFFFF" w:themeColor="background1"/>
              <w:right w:val="single" w:sz="4" w:space="0" w:color="FFFFFF" w:themeColor="background1"/>
            </w:tcBorders>
            <w:shd w:val="clear" w:color="auto" w:fill="1F497D" w:themeFill="text2"/>
            <w:noWrap/>
            <w:textDirection w:val="btLr"/>
          </w:tcPr>
          <w:p w14:paraId="09C0D0BB" w14:textId="77777777" w:rsidR="00E5198E" w:rsidRPr="00FC67EB" w:rsidRDefault="00E5198E" w:rsidP="009F0391">
            <w:pPr>
              <w:pStyle w:val="TableCell"/>
              <w:ind w:left="113" w:right="113"/>
              <w:jc w:val="center"/>
              <w:rPr>
                <w:b/>
                <w:color w:val="FFFFFF" w:themeColor="background1"/>
                <w:lang w:eastAsia="en-GB"/>
              </w:rPr>
            </w:pPr>
            <w:r w:rsidRPr="00FC67EB">
              <w:rPr>
                <w:b/>
                <w:color w:val="FFFFFF" w:themeColor="background1"/>
                <w:lang w:eastAsia="en-GB"/>
              </w:rPr>
              <w:t>Activity</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hemeFill="text2"/>
            <w:vAlign w:val="center"/>
          </w:tcPr>
          <w:p w14:paraId="45144AC2" w14:textId="77777777" w:rsidR="00E5198E" w:rsidRPr="00CC5BDC" w:rsidRDefault="00E5198E" w:rsidP="009F0391">
            <w:pPr>
              <w:pStyle w:val="TableRow"/>
              <w:rPr>
                <w:color w:val="FFFFFF" w:themeColor="background1"/>
              </w:rPr>
            </w:pPr>
            <w:r>
              <w:rPr>
                <w:color w:val="FFFFFF" w:themeColor="background1"/>
              </w:rPr>
              <w:t>Job creation</w:t>
            </w: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3684D07D" w14:textId="77777777" w:rsidR="00E5198E" w:rsidRDefault="00E5198E" w:rsidP="009F0391">
            <w:pPr>
              <w:pStyle w:val="TableColumn"/>
            </w:pPr>
            <w:r>
              <w:t>CIT Deduction</w:t>
            </w:r>
          </w:p>
        </w:tc>
        <w:tc>
          <w:tcPr>
            <w:tcW w:w="10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3F2759" w14:textId="77777777" w:rsidR="00E5198E" w:rsidRPr="009629F8" w:rsidRDefault="00E5198E" w:rsidP="009F0391">
            <w:pPr>
              <w:pStyle w:val="TableColumn"/>
            </w:pP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D5564D" w14:textId="77777777" w:rsidR="00E5198E" w:rsidRPr="009629F8" w:rsidRDefault="00E5198E" w:rsidP="009F0391">
            <w:pPr>
              <w:pStyle w:val="TableColumn"/>
            </w:pP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5CA110" w14:textId="77777777" w:rsidR="00E5198E" w:rsidRDefault="00E5198E" w:rsidP="009F0391">
            <w:pPr>
              <w:pStyle w:val="TableColumn"/>
            </w:pPr>
          </w:p>
        </w:tc>
        <w:tc>
          <w:tcPr>
            <w:tcW w:w="10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tcPr>
          <w:p w14:paraId="5C9BBB87" w14:textId="77777777" w:rsidR="00E5198E" w:rsidRDefault="00E5198E" w:rsidP="009F0391">
            <w:pPr>
              <w:pStyle w:val="TableColumn"/>
            </w:pPr>
            <w:r>
              <w:t>CIT Deduction</w:t>
            </w:r>
          </w:p>
        </w:tc>
        <w:tc>
          <w:tcPr>
            <w:tcW w:w="1071" w:type="dxa"/>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vAlign w:val="center"/>
          </w:tcPr>
          <w:p w14:paraId="5D760647" w14:textId="77777777" w:rsidR="00E5198E" w:rsidRPr="009629F8" w:rsidRDefault="00E5198E" w:rsidP="009F0391">
            <w:pPr>
              <w:pStyle w:val="TableColumn"/>
            </w:pPr>
            <w:r>
              <w:t>CIT Deduction</w:t>
            </w:r>
          </w:p>
        </w:tc>
      </w:tr>
      <w:tr w:rsidR="00E5198E" w:rsidRPr="009629F8" w14:paraId="7A586899" w14:textId="77777777" w:rsidTr="00D071DC">
        <w:trPr>
          <w:trHeight w:val="20"/>
          <w:jc w:val="center"/>
        </w:trPr>
        <w:tc>
          <w:tcPr>
            <w:tcW w:w="454" w:type="dxa"/>
            <w:vMerge/>
            <w:tcBorders>
              <w:right w:val="single" w:sz="4" w:space="0" w:color="FFFFFF" w:themeColor="background1"/>
            </w:tcBorders>
            <w:shd w:val="clear" w:color="auto" w:fill="1F497D" w:themeFill="text2"/>
            <w:noWrap/>
            <w:textDirection w:val="btLr"/>
            <w:hideMark/>
          </w:tcPr>
          <w:p w14:paraId="70C6AFD1" w14:textId="77777777" w:rsidR="00E5198E" w:rsidRPr="004C63EE" w:rsidRDefault="00E5198E" w:rsidP="009F0391">
            <w:pPr>
              <w:pStyle w:val="TableCell"/>
              <w:ind w:left="113" w:right="113"/>
              <w:jc w:val="center"/>
              <w:rPr>
                <w:color w:val="FFFFFF" w:themeColor="background1"/>
                <w:lang w:eastAsia="en-GB"/>
              </w:rPr>
            </w:pPr>
          </w:p>
        </w:tc>
        <w:tc>
          <w:tcPr>
            <w:tcW w:w="1054" w:type="dxa"/>
            <w:tcBorders>
              <w:top w:val="single" w:sz="4" w:space="0" w:color="FFFFFF" w:themeColor="background1"/>
              <w:left w:val="single" w:sz="4" w:space="0" w:color="FFFFFF" w:themeColor="background1"/>
            </w:tcBorders>
            <w:shd w:val="clear" w:color="auto" w:fill="1F497D" w:themeFill="text2"/>
            <w:vAlign w:val="center"/>
            <w:hideMark/>
          </w:tcPr>
          <w:p w14:paraId="1153E582" w14:textId="77777777" w:rsidR="00E5198E" w:rsidRPr="00CC5BDC" w:rsidRDefault="00E5198E" w:rsidP="009F0391">
            <w:pPr>
              <w:pStyle w:val="TableRow"/>
              <w:rPr>
                <w:color w:val="FFFFFF" w:themeColor="background1"/>
              </w:rPr>
            </w:pPr>
            <w:r w:rsidRPr="00CC5BDC">
              <w:rPr>
                <w:color w:val="FFFFFF" w:themeColor="background1"/>
              </w:rPr>
              <w:t>R&amp;D</w:t>
            </w:r>
          </w:p>
        </w:tc>
        <w:tc>
          <w:tcPr>
            <w:tcW w:w="1071" w:type="dxa"/>
            <w:tcBorders>
              <w:top w:val="single" w:sz="4" w:space="0" w:color="FFFFFF" w:themeColor="background1"/>
            </w:tcBorders>
            <w:shd w:val="clear" w:color="auto" w:fill="DBE5F1" w:themeFill="accent1" w:themeFillTint="33"/>
            <w:vAlign w:val="center"/>
            <w:hideMark/>
          </w:tcPr>
          <w:p w14:paraId="5A985403" w14:textId="77777777" w:rsidR="00E5198E" w:rsidRPr="009629F8" w:rsidRDefault="00E5198E" w:rsidP="009F0391">
            <w:pPr>
              <w:pStyle w:val="TableColumn"/>
            </w:pPr>
            <w:r>
              <w:t>CIT d</w:t>
            </w:r>
            <w:r w:rsidRPr="009629F8">
              <w:t>eduction  </w:t>
            </w:r>
          </w:p>
        </w:tc>
        <w:tc>
          <w:tcPr>
            <w:tcW w:w="1077" w:type="dxa"/>
            <w:tcBorders>
              <w:top w:val="single" w:sz="4" w:space="0" w:color="FFFFFF" w:themeColor="background1"/>
            </w:tcBorders>
            <w:shd w:val="clear" w:color="auto" w:fill="auto"/>
            <w:vAlign w:val="center"/>
            <w:hideMark/>
          </w:tcPr>
          <w:p w14:paraId="20DBE23D" w14:textId="77777777" w:rsidR="00E5198E" w:rsidRPr="009629F8" w:rsidRDefault="00E5198E" w:rsidP="009F0391">
            <w:pPr>
              <w:pStyle w:val="TableColumn"/>
            </w:pPr>
          </w:p>
        </w:tc>
        <w:tc>
          <w:tcPr>
            <w:tcW w:w="1071" w:type="dxa"/>
            <w:tcBorders>
              <w:top w:val="single" w:sz="4" w:space="0" w:color="FFFFFF" w:themeColor="background1"/>
            </w:tcBorders>
            <w:shd w:val="clear" w:color="auto" w:fill="auto"/>
            <w:vAlign w:val="center"/>
            <w:hideMark/>
          </w:tcPr>
          <w:p w14:paraId="2E830E43" w14:textId="77777777" w:rsidR="00E5198E" w:rsidRPr="009629F8" w:rsidRDefault="00E5198E" w:rsidP="009F0391">
            <w:pPr>
              <w:pStyle w:val="TableColumn"/>
            </w:pPr>
          </w:p>
        </w:tc>
        <w:tc>
          <w:tcPr>
            <w:tcW w:w="1071" w:type="dxa"/>
            <w:tcBorders>
              <w:top w:val="single" w:sz="4" w:space="0" w:color="FFFFFF" w:themeColor="background1"/>
            </w:tcBorders>
            <w:shd w:val="clear" w:color="auto" w:fill="DBE5F1" w:themeFill="accent1" w:themeFillTint="33"/>
            <w:vAlign w:val="center"/>
            <w:hideMark/>
          </w:tcPr>
          <w:p w14:paraId="74C6DA7B" w14:textId="77777777" w:rsidR="00E5198E" w:rsidRPr="009629F8" w:rsidRDefault="00E5198E" w:rsidP="009F0391">
            <w:pPr>
              <w:pStyle w:val="TableColumn"/>
            </w:pPr>
            <w:r>
              <w:t>CIT deduction</w:t>
            </w:r>
          </w:p>
        </w:tc>
        <w:tc>
          <w:tcPr>
            <w:tcW w:w="1071" w:type="dxa"/>
            <w:tcBorders>
              <w:top w:val="single" w:sz="4" w:space="0" w:color="FFFFFF" w:themeColor="background1"/>
            </w:tcBorders>
            <w:shd w:val="clear" w:color="auto" w:fill="DBE5F1" w:themeFill="accent1" w:themeFillTint="33"/>
            <w:vAlign w:val="center"/>
            <w:hideMark/>
          </w:tcPr>
          <w:p w14:paraId="0BB89F17" w14:textId="77777777" w:rsidR="00E5198E" w:rsidRPr="009629F8" w:rsidRDefault="00E5198E" w:rsidP="009F0391">
            <w:pPr>
              <w:pStyle w:val="TableColumn"/>
            </w:pPr>
            <w:r>
              <w:t>CIT deduction</w:t>
            </w:r>
          </w:p>
        </w:tc>
        <w:tc>
          <w:tcPr>
            <w:tcW w:w="1071" w:type="dxa"/>
            <w:tcBorders>
              <w:top w:val="single" w:sz="4" w:space="0" w:color="FFFFFF" w:themeColor="background1"/>
            </w:tcBorders>
            <w:shd w:val="clear" w:color="auto" w:fill="auto"/>
            <w:vAlign w:val="center"/>
          </w:tcPr>
          <w:p w14:paraId="44BBF951" w14:textId="77777777" w:rsidR="00E5198E" w:rsidRPr="009629F8" w:rsidRDefault="00E5198E" w:rsidP="009F0391">
            <w:pPr>
              <w:pStyle w:val="TableColumn"/>
            </w:pPr>
          </w:p>
        </w:tc>
      </w:tr>
      <w:tr w:rsidR="00E5198E" w:rsidRPr="009629F8" w14:paraId="6EF8C3E1" w14:textId="77777777" w:rsidTr="00D071DC">
        <w:trPr>
          <w:trHeight w:val="20"/>
          <w:jc w:val="center"/>
        </w:trPr>
        <w:tc>
          <w:tcPr>
            <w:tcW w:w="454" w:type="dxa"/>
            <w:vMerge/>
            <w:tcBorders>
              <w:bottom w:val="single" w:sz="12" w:space="0" w:color="auto"/>
              <w:right w:val="single" w:sz="4" w:space="0" w:color="FFFFFF" w:themeColor="background1"/>
            </w:tcBorders>
            <w:shd w:val="clear" w:color="auto" w:fill="1F497D" w:themeFill="text2"/>
            <w:vAlign w:val="center"/>
            <w:hideMark/>
          </w:tcPr>
          <w:p w14:paraId="2CB19D0F" w14:textId="77777777" w:rsidR="00E5198E" w:rsidRPr="009629F8" w:rsidRDefault="00E5198E" w:rsidP="009F0391">
            <w:pPr>
              <w:pStyle w:val="TableCell"/>
              <w:rPr>
                <w:b/>
                <w:color w:val="FFFFFF" w:themeColor="background1"/>
                <w:lang w:eastAsia="en-GB"/>
              </w:rPr>
            </w:pPr>
          </w:p>
        </w:tc>
        <w:tc>
          <w:tcPr>
            <w:tcW w:w="1054" w:type="dxa"/>
            <w:tcBorders>
              <w:left w:val="single" w:sz="4" w:space="0" w:color="FFFFFF" w:themeColor="background1"/>
              <w:bottom w:val="single" w:sz="12" w:space="0" w:color="auto"/>
            </w:tcBorders>
            <w:shd w:val="clear" w:color="auto" w:fill="1F497D" w:themeFill="text2"/>
            <w:vAlign w:val="center"/>
            <w:hideMark/>
          </w:tcPr>
          <w:p w14:paraId="34E31C72" w14:textId="77777777" w:rsidR="00E5198E" w:rsidRPr="00CC5BDC" w:rsidRDefault="00E5198E" w:rsidP="009F0391">
            <w:pPr>
              <w:pStyle w:val="TableRow"/>
              <w:rPr>
                <w:color w:val="FFFFFF" w:themeColor="background1"/>
              </w:rPr>
            </w:pPr>
            <w:r w:rsidRPr="00CC5BDC">
              <w:rPr>
                <w:color w:val="FFFFFF" w:themeColor="background1"/>
              </w:rPr>
              <w:t>Exports</w:t>
            </w:r>
          </w:p>
        </w:tc>
        <w:tc>
          <w:tcPr>
            <w:tcW w:w="1071" w:type="dxa"/>
            <w:tcBorders>
              <w:bottom w:val="single" w:sz="12" w:space="0" w:color="auto"/>
            </w:tcBorders>
            <w:shd w:val="clear" w:color="auto" w:fill="auto"/>
            <w:vAlign w:val="center"/>
            <w:hideMark/>
          </w:tcPr>
          <w:p w14:paraId="07C70CA5" w14:textId="77777777" w:rsidR="00E5198E" w:rsidRPr="009629F8" w:rsidRDefault="00E5198E" w:rsidP="009F0391">
            <w:pPr>
              <w:pStyle w:val="TableColumn"/>
            </w:pPr>
          </w:p>
        </w:tc>
        <w:tc>
          <w:tcPr>
            <w:tcW w:w="1077" w:type="dxa"/>
            <w:tcBorders>
              <w:bottom w:val="single" w:sz="12" w:space="0" w:color="auto"/>
            </w:tcBorders>
            <w:shd w:val="clear" w:color="auto" w:fill="DBE5F1" w:themeFill="accent1" w:themeFillTint="33"/>
            <w:vAlign w:val="center"/>
            <w:hideMark/>
          </w:tcPr>
          <w:p w14:paraId="7A3CD780" w14:textId="77777777" w:rsidR="00E5198E" w:rsidRPr="009629F8" w:rsidRDefault="00E5198E" w:rsidP="009F0391">
            <w:pPr>
              <w:pStyle w:val="TableColumn"/>
            </w:pPr>
            <w:r>
              <w:t>Trade tax e</w:t>
            </w:r>
            <w:r w:rsidRPr="009629F8">
              <w:t>xe</w:t>
            </w:r>
            <w:r>
              <w:t>mption</w:t>
            </w:r>
          </w:p>
        </w:tc>
        <w:tc>
          <w:tcPr>
            <w:tcW w:w="1071" w:type="dxa"/>
            <w:tcBorders>
              <w:bottom w:val="single" w:sz="12" w:space="0" w:color="auto"/>
            </w:tcBorders>
            <w:shd w:val="clear" w:color="auto" w:fill="DBE5F1" w:themeFill="accent1" w:themeFillTint="33"/>
            <w:vAlign w:val="center"/>
            <w:hideMark/>
          </w:tcPr>
          <w:p w14:paraId="0B24473C" w14:textId="77777777" w:rsidR="00E5198E" w:rsidRPr="009629F8" w:rsidRDefault="00E5198E" w:rsidP="009F0391">
            <w:pPr>
              <w:pStyle w:val="TableColumn"/>
            </w:pPr>
            <w:r>
              <w:t>Trade tax e</w:t>
            </w:r>
            <w:r w:rsidRPr="009629F8">
              <w:t>xe</w:t>
            </w:r>
            <w:r>
              <w:t>mption</w:t>
            </w:r>
          </w:p>
        </w:tc>
        <w:tc>
          <w:tcPr>
            <w:tcW w:w="1071" w:type="dxa"/>
            <w:tcBorders>
              <w:bottom w:val="single" w:sz="12" w:space="0" w:color="auto"/>
            </w:tcBorders>
            <w:shd w:val="clear" w:color="auto" w:fill="FFFFFF" w:themeFill="background1"/>
            <w:vAlign w:val="center"/>
          </w:tcPr>
          <w:p w14:paraId="09CD747C" w14:textId="77777777" w:rsidR="00E5198E" w:rsidRPr="009629F8" w:rsidRDefault="00E5198E" w:rsidP="009F0391">
            <w:pPr>
              <w:pStyle w:val="TableColumn"/>
            </w:pPr>
          </w:p>
        </w:tc>
        <w:tc>
          <w:tcPr>
            <w:tcW w:w="1071" w:type="dxa"/>
            <w:tcBorders>
              <w:bottom w:val="single" w:sz="12" w:space="0" w:color="auto"/>
            </w:tcBorders>
            <w:shd w:val="clear" w:color="auto" w:fill="auto"/>
            <w:vAlign w:val="center"/>
          </w:tcPr>
          <w:p w14:paraId="29FA688E" w14:textId="77777777" w:rsidR="00E5198E" w:rsidRPr="009629F8" w:rsidRDefault="00E5198E" w:rsidP="009F0391">
            <w:pPr>
              <w:pStyle w:val="TableColumn"/>
            </w:pPr>
          </w:p>
        </w:tc>
        <w:tc>
          <w:tcPr>
            <w:tcW w:w="1071" w:type="dxa"/>
            <w:tcBorders>
              <w:bottom w:val="single" w:sz="12" w:space="0" w:color="auto"/>
            </w:tcBorders>
            <w:shd w:val="clear" w:color="auto" w:fill="DBE5F1" w:themeFill="accent1" w:themeFillTint="33"/>
            <w:vAlign w:val="center"/>
            <w:hideMark/>
          </w:tcPr>
          <w:p w14:paraId="0689C936" w14:textId="77777777" w:rsidR="00E5198E" w:rsidRPr="009629F8" w:rsidRDefault="00E5198E" w:rsidP="009F0391">
            <w:pPr>
              <w:pStyle w:val="TableColumn"/>
            </w:pPr>
            <w:r>
              <w:t>Trad</w:t>
            </w:r>
            <w:r w:rsidRPr="009629F8">
              <w:t xml:space="preserve">e </w:t>
            </w:r>
            <w:r>
              <w:t>tax exemption</w:t>
            </w:r>
          </w:p>
        </w:tc>
      </w:tr>
    </w:tbl>
    <w:p w14:paraId="587F6F78" w14:textId="11474B49" w:rsidR="00E5198E" w:rsidRDefault="00E5198E" w:rsidP="00E5198E">
      <w:pPr>
        <w:pStyle w:val="Sourcenotes"/>
      </w:pPr>
      <w:r w:rsidRPr="00AD6BCB">
        <w:rPr>
          <w:i/>
        </w:rPr>
        <w:t>Note</w:t>
      </w:r>
      <w:r>
        <w:t xml:space="preserve">: </w:t>
      </w:r>
      <w:r w:rsidRPr="003D69E9">
        <w:rPr>
          <w:i/>
        </w:rPr>
        <w:t>Tax h</w:t>
      </w:r>
      <w:r w:rsidRPr="00AD6BCB">
        <w:rPr>
          <w:i/>
        </w:rPr>
        <w:t>oliday</w:t>
      </w:r>
      <w:r>
        <w:t xml:space="preserve"> = 100%</w:t>
      </w:r>
      <w:r w:rsidRPr="00AD6BCB">
        <w:t xml:space="preserve"> tax exemption over defined period</w:t>
      </w:r>
      <w:r>
        <w:t xml:space="preserve"> or subject to a sunset clause; </w:t>
      </w:r>
      <w:r>
        <w:rPr>
          <w:i/>
        </w:rPr>
        <w:t>e</w:t>
      </w:r>
      <w:r w:rsidRPr="00AD6BCB">
        <w:rPr>
          <w:i/>
        </w:rPr>
        <w:t>xemption</w:t>
      </w:r>
      <w:r>
        <w:t xml:space="preserve"> = permanent 100%</w:t>
      </w:r>
      <w:r w:rsidRPr="00AD6BCB">
        <w:t xml:space="preserve"> tax exemption</w:t>
      </w:r>
      <w:r>
        <w:t xml:space="preserve">; </w:t>
      </w:r>
      <w:r>
        <w:rPr>
          <w:i/>
        </w:rPr>
        <w:t>reduced rate</w:t>
      </w:r>
      <w:r>
        <w:t xml:space="preserve"> = tax rate lower than statutory rate over defined period; </w:t>
      </w:r>
      <w:r w:rsidRPr="0055054D">
        <w:rPr>
          <w:i/>
        </w:rPr>
        <w:t>deduction</w:t>
      </w:r>
      <w:r w:rsidRPr="00AD6BCB">
        <w:t xml:space="preserve"> = deductions of certa</w:t>
      </w:r>
      <w:r>
        <w:t xml:space="preserve">in expenses from taxable income; </w:t>
      </w:r>
      <w:r w:rsidRPr="0055054D">
        <w:rPr>
          <w:i/>
        </w:rPr>
        <w:t xml:space="preserve">trade tax </w:t>
      </w:r>
      <w:r w:rsidRPr="00AD6BCB">
        <w:t>= import duties, VAT</w:t>
      </w:r>
      <w:r>
        <w:t xml:space="preserve"> on imports, or</w:t>
      </w:r>
      <w:r w:rsidRPr="00AD6BCB">
        <w:t xml:space="preserve"> </w:t>
      </w:r>
      <w:r>
        <w:t xml:space="preserve">export taxes; </w:t>
      </w:r>
      <w:r w:rsidRPr="003D69E9">
        <w:rPr>
          <w:i/>
        </w:rPr>
        <w:t xml:space="preserve">unified </w:t>
      </w:r>
      <w:r>
        <w:rPr>
          <w:i/>
        </w:rPr>
        <w:t xml:space="preserve">tax = </w:t>
      </w:r>
      <w:r w:rsidRPr="00D44680">
        <w:t>simplified tax encompassing all business taxes</w:t>
      </w:r>
      <w:r>
        <w:t xml:space="preserve"> (e.g. applied to sales)</w:t>
      </w:r>
      <w:r w:rsidRPr="00D44680">
        <w:t>.</w:t>
      </w:r>
      <w:r>
        <w:t xml:space="preserve"> See Annex 4.A for more details of incentives offered in </w:t>
      </w:r>
      <w:r w:rsidR="00513CC2">
        <w:t>SEZs and indu</w:t>
      </w:r>
      <w:r w:rsidR="00800271">
        <w:t>strial parks</w:t>
      </w:r>
      <w:r>
        <w:t>.</w:t>
      </w:r>
    </w:p>
    <w:p w14:paraId="2BE43B9E" w14:textId="77777777" w:rsidR="00E5198E" w:rsidRDefault="00E5198E" w:rsidP="00E5198E">
      <w:pPr>
        <w:pStyle w:val="Sourcenotes"/>
      </w:pPr>
      <w:r w:rsidRPr="00001B30">
        <w:rPr>
          <w:i/>
        </w:rPr>
        <w:t>Source</w:t>
      </w:r>
      <w:r>
        <w:t>: OECD elaboration based on</w:t>
      </w:r>
      <w:r w:rsidRPr="00AD6BCB">
        <w:t xml:space="preserve"> national </w:t>
      </w:r>
      <w:r>
        <w:t>legislation.</w:t>
      </w:r>
    </w:p>
    <w:p w14:paraId="3067904E" w14:textId="5315F62D" w:rsidR="009D1C57" w:rsidRDefault="00293FA5" w:rsidP="009D1C57">
      <w:pPr>
        <w:pStyle w:val="Para0"/>
      </w:pPr>
      <w:r>
        <w:t xml:space="preserve">Another prioritised sector is </w:t>
      </w:r>
      <w:r w:rsidR="008A22CE">
        <w:t xml:space="preserve">renewable </w:t>
      </w:r>
      <w:r>
        <w:t xml:space="preserve">energy. </w:t>
      </w:r>
      <w:r w:rsidR="008A22CE">
        <w:t xml:space="preserve">With the exception of Azerbaijan, </w:t>
      </w:r>
      <w:r w:rsidR="0042628D">
        <w:t>EaP</w:t>
      </w:r>
      <w:r w:rsidR="009D1C57">
        <w:t xml:space="preserve"> countries are net importers of energy. The development of green energy alternatives offer</w:t>
      </w:r>
      <w:r w:rsidR="006E1976">
        <w:t>s</w:t>
      </w:r>
      <w:r w:rsidR="009D1C57">
        <w:t xml:space="preserve"> an opportunity for reducing reliance on fossil fuel imports. Many countries in the region provide support for green energy investments.</w:t>
      </w:r>
      <w:r w:rsidR="009D1C57" w:rsidRPr="00AE690E">
        <w:t xml:space="preserve"> </w:t>
      </w:r>
      <w:r w:rsidR="009D1C57">
        <w:t xml:space="preserve">In Moldova, incentives include reduced customs </w:t>
      </w:r>
      <w:r w:rsidR="006E1976">
        <w:t>duties on imports</w:t>
      </w:r>
      <w:r w:rsidR="009D1C57">
        <w:t xml:space="preserve">, exemption from VAT on installation work and other inputs for renewable energy projects. </w:t>
      </w:r>
      <w:r w:rsidR="008D116F" w:rsidRPr="000D57AF">
        <w:t>However, some of the relevant provisions have been reported to be unclear in terms of t</w:t>
      </w:r>
      <w:r w:rsidR="008D116F">
        <w:t>echnologies and projects</w:t>
      </w:r>
      <w:r w:rsidR="008D116F" w:rsidRPr="000D57AF">
        <w:t xml:space="preserve"> eligible </w:t>
      </w:r>
      <w:r w:rsidR="008D116F">
        <w:t>for</w:t>
      </w:r>
      <w:r w:rsidR="008D116F" w:rsidRPr="000D57AF">
        <w:t xml:space="preserve"> tax benefits</w:t>
      </w:r>
      <w:r w:rsidR="008D116F">
        <w:t xml:space="preserve">, </w:t>
      </w:r>
      <w:r w:rsidR="008D116F" w:rsidRPr="000D57AF">
        <w:t xml:space="preserve">both </w:t>
      </w:r>
      <w:r w:rsidR="008D116F">
        <w:t xml:space="preserve">by </w:t>
      </w:r>
      <w:r w:rsidR="008D116F" w:rsidRPr="000D57AF">
        <w:t xml:space="preserve">the investor community and the authorities responsible for implementation </w:t>
      </w:r>
      <w:r w:rsidR="004B1767">
        <w:rPr>
          <w:noProof/>
        </w:rPr>
        <w:t>(IRENA, 2019)</w:t>
      </w:r>
      <w:r w:rsidR="008D116F" w:rsidRPr="000D57AF">
        <w:t>.</w:t>
      </w:r>
      <w:r w:rsidR="008D116F">
        <w:t xml:space="preserve"> </w:t>
      </w:r>
      <w:r w:rsidR="009D1C57">
        <w:t xml:space="preserve">In Armenia, </w:t>
      </w:r>
      <w:r w:rsidR="008D116F">
        <w:t>revenues from electricity</w:t>
      </w:r>
      <w:r w:rsidR="009D1C57" w:rsidRPr="001B44B9">
        <w:t xml:space="preserve"> sales</w:t>
      </w:r>
      <w:r w:rsidR="009D1C57">
        <w:t xml:space="preserve"> from renewable energy are </w:t>
      </w:r>
      <w:r w:rsidR="009D1C57">
        <w:lastRenderedPageBreak/>
        <w:t>exempt</w:t>
      </w:r>
      <w:r w:rsidR="008D116F">
        <w:t xml:space="preserve"> from CIT</w:t>
      </w:r>
      <w:r w:rsidR="009D1C57" w:rsidRPr="001B44B9">
        <w:t>.</w:t>
      </w:r>
      <w:r w:rsidR="009D1C57" w:rsidRPr="000D57AF">
        <w:t xml:space="preserve"> </w:t>
      </w:r>
      <w:r w:rsidR="008D116F">
        <w:t>In Ukraine, t</w:t>
      </w:r>
      <w:r w:rsidR="009D1C57">
        <w:t xml:space="preserve">he acquisition of </w:t>
      </w:r>
      <w:r w:rsidR="009D1C57" w:rsidRPr="007462F1">
        <w:t>renewable power sources or energy-saving equipmen</w:t>
      </w:r>
      <w:r w:rsidR="009D1C57">
        <w:t>t for own-use of ele</w:t>
      </w:r>
      <w:r w:rsidR="006E1976">
        <w:t>c</w:t>
      </w:r>
      <w:r w:rsidR="008D116F">
        <w:t>tricity productio</w:t>
      </w:r>
      <w:r w:rsidR="00BF0B1F">
        <w:t>n is exempt from customs duties</w:t>
      </w:r>
      <w:r w:rsidR="006E1976">
        <w:t>.</w:t>
      </w:r>
    </w:p>
    <w:p w14:paraId="3ADE026F" w14:textId="0301F9C1" w:rsidR="00D1373A" w:rsidRDefault="006978BD" w:rsidP="009D1C57">
      <w:pPr>
        <w:pStyle w:val="Para0"/>
      </w:pPr>
      <w:r>
        <w:t xml:space="preserve">In line with IPA mandates of </w:t>
      </w:r>
      <w:r w:rsidR="00D1373A">
        <w:t xml:space="preserve">some </w:t>
      </w:r>
      <w:r w:rsidR="0042628D">
        <w:t>EaP</w:t>
      </w:r>
      <w:r w:rsidR="00D1373A">
        <w:t xml:space="preserve"> countries, including Armenia, Belarus and Georgia, </w:t>
      </w:r>
      <w:r>
        <w:t>additional incentives beyond the priority areas are offered in support of regional development.</w:t>
      </w:r>
      <w:r w:rsidR="00244AA0">
        <w:t xml:space="preserve"> Armenia offers unlimited CIT exemption to SMEs of border regions. </w:t>
      </w:r>
      <w:r w:rsidR="00244AA0" w:rsidRPr="00244AA0">
        <w:t xml:space="preserve">In Belarus, companies </w:t>
      </w:r>
      <w:r w:rsidR="00244AA0">
        <w:t xml:space="preserve">that </w:t>
      </w:r>
      <w:r w:rsidR="00244AA0" w:rsidRPr="00244AA0">
        <w:t>invest in</w:t>
      </w:r>
      <w:r w:rsidR="009323B7">
        <w:t xml:space="preserve"> small cities or</w:t>
      </w:r>
      <w:r w:rsidR="00244AA0" w:rsidRPr="00244AA0">
        <w:t xml:space="preserve"> rural areas</w:t>
      </w:r>
      <w:r w:rsidR="00244AA0">
        <w:t xml:space="preserve"> are granted a two-year CIT and property tax holiday</w:t>
      </w:r>
      <w:r w:rsidR="009323B7">
        <w:t>, while</w:t>
      </w:r>
      <w:r w:rsidR="00244AA0" w:rsidRPr="00244AA0">
        <w:t xml:space="preserve"> </w:t>
      </w:r>
      <w:r w:rsidR="009323B7">
        <w:t>e</w:t>
      </w:r>
      <w:r w:rsidR="00244AA0" w:rsidRPr="00244AA0">
        <w:t>nterprises investing in high-mountain settlements in Georgia may receive up to ten years of CIT holiday.</w:t>
      </w:r>
    </w:p>
    <w:p w14:paraId="09DED360" w14:textId="3AA16EDD" w:rsidR="00707516" w:rsidRDefault="0018519F" w:rsidP="0018519F">
      <w:pPr>
        <w:pStyle w:val="Para0"/>
      </w:pPr>
      <w:r>
        <w:t xml:space="preserve">Across the board, commonly applied exemptions or reductions on indirect taxes such as VAT and customs duties, serve to facilitate the acquisition and import of machinery and equipment. </w:t>
      </w:r>
      <w:r w:rsidRPr="004F5797">
        <w:t xml:space="preserve">In Armenia, VAT payments on imported machinery are deferred for three years for new investments of at least AMD 300 million (570 000 EUR). </w:t>
      </w:r>
      <w:r w:rsidR="00707516" w:rsidRPr="004F5797">
        <w:t xml:space="preserve">In Ukraine, </w:t>
      </w:r>
      <w:r w:rsidR="00707516">
        <w:t>foreign investors</w:t>
      </w:r>
      <w:r w:rsidR="00707516" w:rsidRPr="004F5797">
        <w:t xml:space="preserve"> </w:t>
      </w:r>
      <w:r w:rsidR="00707516">
        <w:t>are</w:t>
      </w:r>
      <w:r w:rsidR="00707516" w:rsidRPr="004F5797">
        <w:t xml:space="preserve"> entitled to import duty exemption </w:t>
      </w:r>
      <w:r w:rsidR="00707516">
        <w:t>on</w:t>
      </w:r>
      <w:r w:rsidR="00707516" w:rsidRPr="004F5797">
        <w:t xml:space="preserve"> acquirements of </w:t>
      </w:r>
      <w:r w:rsidR="00707516">
        <w:t>capital goods, and a</w:t>
      </w:r>
      <w:r>
        <w:t>s of 2017,</w:t>
      </w:r>
      <w:r w:rsidRPr="004F5797">
        <w:t xml:space="preserve"> imported fixed assets</w:t>
      </w:r>
      <w:r>
        <w:t xml:space="preserve"> in Georgia</w:t>
      </w:r>
      <w:r w:rsidR="00707516">
        <w:t xml:space="preserve"> are exempt from VAT</w:t>
      </w:r>
      <w:r w:rsidRPr="004F5797">
        <w:t xml:space="preserve">. </w:t>
      </w:r>
      <w:r>
        <w:t>F</w:t>
      </w:r>
      <w:r w:rsidRPr="004F5797">
        <w:t xml:space="preserve">avourable tax treatment of re-invested earnings in Georgia </w:t>
      </w:r>
      <w:r>
        <w:t>also serves a similar purpose</w:t>
      </w:r>
      <w:r w:rsidRPr="004F5797">
        <w:t>.</w:t>
      </w:r>
      <w:r w:rsidR="00707516">
        <w:t xml:space="preserve"> However, as mentioned previously, VAT and indirect taxes are either explicitly or implicitly passed on to end-users. As such, the main benefits of these incentives are </w:t>
      </w:r>
      <w:r w:rsidR="009066A7">
        <w:t xml:space="preserve">lower </w:t>
      </w:r>
      <w:r w:rsidR="00707516">
        <w:t>transaction costs, related to dealing with administrative bureaucracy.</w:t>
      </w:r>
    </w:p>
    <w:p w14:paraId="2DB52F2B" w14:textId="4DD42421" w:rsidR="0018519F" w:rsidRDefault="00C42C8C" w:rsidP="0018519F">
      <w:pPr>
        <w:pStyle w:val="Para0"/>
      </w:pPr>
      <w:r>
        <w:t>Cost-based incentives that target specific activities or capital investments</w:t>
      </w:r>
      <w:r w:rsidR="00E5198E">
        <w:t>,</w:t>
      </w:r>
      <w:r>
        <w:t xml:space="preserve"> more generally</w:t>
      </w:r>
      <w:r w:rsidR="00E5198E">
        <w:t>,</w:t>
      </w:r>
      <w:r>
        <w:t xml:space="preserve"> are used more sparingly in the region.</w:t>
      </w:r>
      <w:r w:rsidR="00E5198E">
        <w:t xml:space="preserve"> CIT deductions are available for job creation (Armenia, Moldova, Ukraine) and R&amp;D (Armenia, Georgia, Moldova). </w:t>
      </w:r>
      <w:r w:rsidR="0018519F">
        <w:t>Accelerated capital</w:t>
      </w:r>
      <w:r w:rsidR="0018519F" w:rsidRPr="004F5797">
        <w:t xml:space="preserve"> investment allowances are </w:t>
      </w:r>
      <w:r w:rsidR="00E5198E">
        <w:t>only available in</w:t>
      </w:r>
      <w:r w:rsidR="0018519F" w:rsidRPr="004F5797">
        <w:t xml:space="preserve"> Belarus</w:t>
      </w:r>
      <w:r w:rsidR="0018519F">
        <w:t>,</w:t>
      </w:r>
      <w:r w:rsidR="0018519F" w:rsidRPr="004F5797">
        <w:t xml:space="preserve"> </w:t>
      </w:r>
      <w:r w:rsidR="0018519F">
        <w:t xml:space="preserve">where </w:t>
      </w:r>
      <w:r w:rsidR="0018519F" w:rsidRPr="004F5797">
        <w:t xml:space="preserve">15% of initial </w:t>
      </w:r>
      <w:r w:rsidR="0018519F">
        <w:t>construction</w:t>
      </w:r>
      <w:r w:rsidR="0018519F" w:rsidRPr="004F5797">
        <w:t xml:space="preserve"> and 30% of machinery and equipment </w:t>
      </w:r>
      <w:r w:rsidR="0018519F">
        <w:t xml:space="preserve">can be deducted </w:t>
      </w:r>
      <w:r w:rsidR="0018519F" w:rsidRPr="004F5797">
        <w:t>from CIT in the first year of a project.</w:t>
      </w:r>
    </w:p>
    <w:p w14:paraId="57DC7C8D" w14:textId="7D993D99" w:rsidR="00C83503" w:rsidRPr="00C137FC" w:rsidRDefault="00694859" w:rsidP="00C83503">
      <w:pPr>
        <w:pStyle w:val="Title3"/>
      </w:pPr>
      <w:r>
        <w:t xml:space="preserve">Incentives offered in </w:t>
      </w:r>
      <w:r w:rsidR="00C226CA">
        <w:t xml:space="preserve">SEZs </w:t>
      </w:r>
      <w:r w:rsidR="003F2D7D">
        <w:t>may generate limited spillovers</w:t>
      </w:r>
    </w:p>
    <w:p w14:paraId="740FE5E7" w14:textId="7F035BA5" w:rsidR="004B1403" w:rsidRDefault="004B1403" w:rsidP="00C83503">
      <w:pPr>
        <w:pStyle w:val="Para0"/>
      </w:pPr>
      <w:r>
        <w:t xml:space="preserve">In addition to the broad array of incentives offered in the region, all countries with the exception of Ukraine, have established various forms of special economic zones (SEZs), </w:t>
      </w:r>
      <w:r w:rsidR="00B977B5">
        <w:t>broadly defined as designated areas where business activity is subject to different (and often laxer) rules from those prevailing in the national territory. While there are many variations in name and form, the main SEZs in the region are free economic zones, essentially customs-free ar</w:t>
      </w:r>
      <w:r w:rsidR="00D13D0B">
        <w:t>eas designed to promote exports;</w:t>
      </w:r>
      <w:r w:rsidR="00B977B5">
        <w:t xml:space="preserve"> and </w:t>
      </w:r>
      <w:r w:rsidR="005C4828">
        <w:t>industrial</w:t>
      </w:r>
      <w:r w:rsidR="00B977B5">
        <w:t xml:space="preserve"> </w:t>
      </w:r>
      <w:r w:rsidR="005C4828">
        <w:t>or</w:t>
      </w:r>
      <w:r w:rsidR="00B977B5">
        <w:t xml:space="preserve"> technology parks, conceived for the development of </w:t>
      </w:r>
      <w:r w:rsidR="005C4828">
        <w:t xml:space="preserve">industry and </w:t>
      </w:r>
      <w:r w:rsidR="00B977B5">
        <w:t>technology hubs.</w:t>
      </w:r>
      <w:r w:rsidR="00A612A0">
        <w:t xml:space="preserve"> </w:t>
      </w:r>
      <w:r w:rsidR="00AC67F5">
        <w:t xml:space="preserve">An overview of the existing </w:t>
      </w:r>
      <w:r w:rsidR="00B977B5">
        <w:t xml:space="preserve">SEZ </w:t>
      </w:r>
      <w:r w:rsidR="00AC67F5">
        <w:t xml:space="preserve">regimes </w:t>
      </w:r>
      <w:r w:rsidR="00B977B5">
        <w:t xml:space="preserve">in </w:t>
      </w:r>
      <w:r w:rsidR="00F87ADC">
        <w:t>each country</w:t>
      </w:r>
      <w:r w:rsidR="00B977B5">
        <w:t xml:space="preserve"> </w:t>
      </w:r>
      <w:r w:rsidR="00AC67F5">
        <w:t xml:space="preserve">is presented </w:t>
      </w:r>
      <w:r w:rsidR="00F87ADC">
        <w:t xml:space="preserve">Box 4.1 and </w:t>
      </w:r>
      <w:r w:rsidR="00AC67F5">
        <w:t>Annex 4.A.</w:t>
      </w:r>
      <w:r w:rsidR="00CC178E">
        <w:rPr>
          <w:rStyle w:val="FootnoteReference"/>
        </w:rPr>
        <w:footnoteReference w:id="3"/>
      </w:r>
    </w:p>
    <w:p w14:paraId="0637C43C" w14:textId="6C7D07B4" w:rsidR="00A07721" w:rsidRDefault="00A07721" w:rsidP="00C83503">
      <w:pPr>
        <w:pStyle w:val="Para0"/>
      </w:pPr>
      <w:r>
        <w:t>Overall, the SEZ regimes of EaP countries offer exceedingly generous fiscal incentives to attract investors, conditional on minimum levels of capital, and in the case of free zones, exports. Profit tax is permanently zero in the free zones of Armenia, Belarus and Georgia, and permanently halved in Moldova (Figure 4.4, Panel A), resulting in potentially huge losses in government revenues. Compared to the in-land regime, these free zone regimes offer a substantial competitive advantage to the detriment of in-land investors. There is considerably more variation in the advantages offered in industrial and technology parks, with permanently zero or reduced rates in Belarus and Moldova, a seven year holiday followed by the statutory rate in Azerbaijan, and no preferential rate in Ukraine’s industrial parks (Figure 4.4, Panel B). The more economical and less distortionary approach is to limit CIT exemptions to a pre-defined period of time and phase out reduced tax rates, which unnecessarily complicate the tax system (as is the case in Azerbaijan), or phase out zone-specific CIT holidays altogether (as is the case in Ukraine).</w:t>
      </w:r>
    </w:p>
    <w:p w14:paraId="66601CD6" w14:textId="3A691471" w:rsidR="003E5D2D" w:rsidRDefault="003E5D2D" w:rsidP="00A6302F">
      <w:pPr>
        <w:pStyle w:val="Para0"/>
      </w:pPr>
    </w:p>
    <w:p w14:paraId="1EF2B8EA" w14:textId="490D4EEA" w:rsidR="00692843" w:rsidRDefault="00692843" w:rsidP="00227945">
      <w:pPr>
        <w:pStyle w:val="Caption"/>
      </w:pPr>
      <w:bookmarkStart w:id="124" w:name="_Toc31983257"/>
      <w:bookmarkStart w:id="125" w:name="_Toc33443341"/>
      <w:r>
        <w:t xml:space="preserve">Figure </w:t>
      </w:r>
      <w:fldSimple w:instr=" STYLEREF 1 \s ">
        <w:r w:rsidR="00DC4D16">
          <w:rPr>
            <w:noProof/>
          </w:rPr>
          <w:t>4</w:t>
        </w:r>
      </w:fldSimple>
      <w:r>
        <w:t>.</w:t>
      </w:r>
      <w:r>
        <w:rPr>
          <w:noProof/>
        </w:rPr>
        <w:fldChar w:fldCharType="begin"/>
      </w:r>
      <w:r>
        <w:rPr>
          <w:noProof/>
        </w:rPr>
        <w:instrText xml:space="preserve"> SEQ Figure \* ARABIC \s 1 </w:instrText>
      </w:r>
      <w:r>
        <w:rPr>
          <w:noProof/>
        </w:rPr>
        <w:fldChar w:fldCharType="separate"/>
      </w:r>
      <w:r w:rsidR="00DC4D16">
        <w:rPr>
          <w:noProof/>
        </w:rPr>
        <w:t>4</w:t>
      </w:r>
      <w:r>
        <w:rPr>
          <w:noProof/>
        </w:rPr>
        <w:fldChar w:fldCharType="end"/>
      </w:r>
      <w:r>
        <w:t>. CIT rates in SEZs</w:t>
      </w:r>
      <w:bookmarkEnd w:id="124"/>
      <w:bookmarkEnd w:id="125"/>
    </w:p>
    <w:p w14:paraId="5B12BAAA" w14:textId="606785B3" w:rsidR="00692843" w:rsidRDefault="00692843" w:rsidP="00227945">
      <w:pPr>
        <w:pStyle w:val="Figure"/>
        <w:rPr>
          <w:i/>
        </w:rPr>
      </w:pPr>
      <w:r>
        <w:rPr>
          <w:i/>
          <w:noProof/>
          <w:lang w:eastAsia="en-GB"/>
        </w:rPr>
        <w:drawing>
          <wp:inline distT="0" distB="0" distL="0" distR="0" wp14:anchorId="32A7EA37" wp14:editId="6A2B4E22">
            <wp:extent cx="5040000" cy="512559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40000" cy="5125596"/>
                    </a:xfrm>
                    <a:prstGeom prst="rect">
                      <a:avLst/>
                    </a:prstGeom>
                    <a:noFill/>
                  </pic:spPr>
                </pic:pic>
              </a:graphicData>
            </a:graphic>
          </wp:inline>
        </w:drawing>
      </w:r>
    </w:p>
    <w:p w14:paraId="788FE5E5" w14:textId="77777777" w:rsidR="00692843" w:rsidRDefault="00692843" w:rsidP="00227945">
      <w:pPr>
        <w:pStyle w:val="Sourcenotes"/>
      </w:pPr>
      <w:r w:rsidRPr="00454399">
        <w:rPr>
          <w:i/>
        </w:rPr>
        <w:t>Note</w:t>
      </w:r>
      <w:r>
        <w:t>: Add the note here. If you do not need a note, please delete this line.</w:t>
      </w:r>
    </w:p>
    <w:p w14:paraId="43736FBD" w14:textId="3E647394" w:rsidR="00692843" w:rsidRPr="00454399" w:rsidRDefault="00692843" w:rsidP="00692843">
      <w:pPr>
        <w:pStyle w:val="Sourcenotes"/>
      </w:pPr>
      <w:r w:rsidRPr="00001B30">
        <w:rPr>
          <w:i/>
        </w:rPr>
        <w:t>Source</w:t>
      </w:r>
      <w:r>
        <w:t>: OECD elaboration based on</w:t>
      </w:r>
      <w:r w:rsidRPr="00AD6BCB">
        <w:t xml:space="preserve"> national </w:t>
      </w:r>
      <w:r>
        <w:t>legislation.</w:t>
      </w:r>
    </w:p>
    <w:p w14:paraId="0D68EEBC" w14:textId="018BC957" w:rsidR="00A6302F" w:rsidRDefault="00A6302F" w:rsidP="00A6302F">
      <w:pPr>
        <w:pStyle w:val="Para0"/>
      </w:pPr>
      <w:r>
        <w:t>SEZs impose a cost on society through forgone revenues from tax incentives, duty exemptions and infrastructure investment specific to the zone</w:t>
      </w:r>
      <w:r w:rsidR="005B6395">
        <w:t xml:space="preserve">, and potential </w:t>
      </w:r>
      <w:r w:rsidR="00CC4D3D">
        <w:t>crowding out of investments outside the zones</w:t>
      </w:r>
      <w:r>
        <w:t xml:space="preserve">. In order to justify the establishment of zones, the societal gains must outweigh these costs. The potential long-run benefits of SEZs are that they generate spillovers that benefit workers and firms located outside the zone through knowledge transfers. </w:t>
      </w:r>
    </w:p>
    <w:p w14:paraId="7717A439" w14:textId="7AE8F6A0" w:rsidR="00C83503" w:rsidRDefault="00C83503" w:rsidP="00AA5FD0">
      <w:pPr>
        <w:pStyle w:val="Para0"/>
      </w:pPr>
      <w:r>
        <w:t xml:space="preserve">Knowledge spillovers from SEZ are not automatic. </w:t>
      </w:r>
      <w:r w:rsidR="00FC45F1">
        <w:t>A</w:t>
      </w:r>
      <w:r>
        <w:t xml:space="preserve"> review of the impacts of the </w:t>
      </w:r>
      <w:r w:rsidR="00FC45F1">
        <w:t>free zones in Moldova, for example,</w:t>
      </w:r>
      <w:r>
        <w:t xml:space="preserve"> found limited </w:t>
      </w:r>
      <w:r w:rsidR="00FC45F1">
        <w:t xml:space="preserve">evidence of </w:t>
      </w:r>
      <w:r>
        <w:t xml:space="preserve">spillovers </w:t>
      </w:r>
      <w:r w:rsidR="00FC45F1">
        <w:t>to</w:t>
      </w:r>
      <w:r>
        <w:t xml:space="preserve"> domestic firms, </w:t>
      </w:r>
      <w:r w:rsidR="00FC45F1">
        <w:t xml:space="preserve">and concluded that the zones </w:t>
      </w:r>
      <w:r>
        <w:t xml:space="preserve">were unlikely to contribute </w:t>
      </w:r>
      <w:r w:rsidR="00FC45F1">
        <w:t xml:space="preserve">significantly </w:t>
      </w:r>
      <w:r>
        <w:t xml:space="preserve">to </w:t>
      </w:r>
      <w:r w:rsidR="00FC45F1">
        <w:t xml:space="preserve">their </w:t>
      </w:r>
      <w:r>
        <w:t xml:space="preserve">technological upgrading </w:t>
      </w:r>
      <w:r w:rsidR="004B1767">
        <w:rPr>
          <w:noProof/>
        </w:rPr>
        <w:t>(World Bank, 2016)</w:t>
      </w:r>
      <w:r>
        <w:t xml:space="preserve">. </w:t>
      </w:r>
      <w:r w:rsidR="00FC45F1">
        <w:t>To a certain extent, host countries can influence the spillover potential of SEZs with appropriate policies and institutions that target skills and supplier development, and facilitate the exchange of information between SEZ investors and local companies.</w:t>
      </w:r>
      <w:r w:rsidR="00FC67EB">
        <w:t xml:space="preserve"> From the point of view of fiscal incentives, </w:t>
      </w:r>
      <w:r w:rsidR="00FC45F1">
        <w:t xml:space="preserve">one way to avoid creating economic enclaves with limited linkages to the wider economy is to reduce reliance on profit-based incentives and offer cost-based deductions </w:t>
      </w:r>
      <w:r w:rsidR="00FC45F1">
        <w:lastRenderedPageBreak/>
        <w:t>on</w:t>
      </w:r>
      <w:r w:rsidR="00D35262">
        <w:t>,</w:t>
      </w:r>
      <w:r w:rsidR="00FC45F1">
        <w:t xml:space="preserve"> for instance</w:t>
      </w:r>
      <w:r w:rsidR="00D35262">
        <w:t>,</w:t>
      </w:r>
      <w:r w:rsidR="00FC45F1">
        <w:t xml:space="preserve"> staff training or local supplier development initiatives. Conditions for residing in the zones could further include clauses requiring investors to undertake formal staff training.</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317CDB" w14:paraId="3AF9ECDF" w14:textId="77777777" w:rsidTr="00D3459C">
        <w:trPr>
          <w:jc w:val="center"/>
        </w:trPr>
        <w:tc>
          <w:tcPr>
            <w:tcW w:w="9309" w:type="dxa"/>
            <w:shd w:val="clear" w:color="auto" w:fill="E1E6EB"/>
          </w:tcPr>
          <w:p w14:paraId="1E1CEE98" w14:textId="2A67836F" w:rsidR="00317CDB" w:rsidRDefault="00317CDB" w:rsidP="00D3459C">
            <w:pPr>
              <w:pStyle w:val="Caption"/>
              <w:keepLines/>
            </w:pPr>
            <w:bookmarkStart w:id="126" w:name="_Toc31983231"/>
            <w:bookmarkStart w:id="127" w:name="_Toc33443348"/>
            <w:r>
              <w:t xml:space="preserve">Box </w:t>
            </w:r>
            <w:fldSimple w:instr=" STYLEREF 1 \s ">
              <w:r w:rsidR="00DC4D16">
                <w:rPr>
                  <w:noProof/>
                </w:rPr>
                <w:t>4</w:t>
              </w:r>
            </w:fldSimple>
            <w:r>
              <w:t>.</w:t>
            </w:r>
            <w:r>
              <w:rPr>
                <w:noProof/>
              </w:rPr>
              <w:fldChar w:fldCharType="begin"/>
            </w:r>
            <w:r>
              <w:rPr>
                <w:noProof/>
              </w:rPr>
              <w:instrText xml:space="preserve"> SEQ Box \* ARABIC \s 1 </w:instrText>
            </w:r>
            <w:r>
              <w:rPr>
                <w:noProof/>
              </w:rPr>
              <w:fldChar w:fldCharType="separate"/>
            </w:r>
            <w:r w:rsidR="00DC4D16">
              <w:rPr>
                <w:noProof/>
              </w:rPr>
              <w:t>3</w:t>
            </w:r>
            <w:r>
              <w:rPr>
                <w:noProof/>
              </w:rPr>
              <w:fldChar w:fldCharType="end"/>
            </w:r>
            <w:r>
              <w:t>. Overview of SEZ regimes in EaP countries</w:t>
            </w:r>
            <w:bookmarkEnd w:id="126"/>
            <w:bookmarkEnd w:id="127"/>
          </w:p>
          <w:p w14:paraId="56F9F244" w14:textId="77777777" w:rsidR="00317CDB" w:rsidRPr="00EC6153" w:rsidRDefault="00317CDB" w:rsidP="00D3459C">
            <w:pPr>
              <w:pStyle w:val="Para0"/>
              <w:keepNext/>
              <w:keepLines/>
              <w:rPr>
                <w:sz w:val="20"/>
                <w:szCs w:val="20"/>
              </w:rPr>
            </w:pPr>
            <w:r w:rsidRPr="00EC6153">
              <w:rPr>
                <w:b/>
                <w:sz w:val="20"/>
                <w:szCs w:val="20"/>
              </w:rPr>
              <w:t>Armenia</w:t>
            </w:r>
            <w:r w:rsidRPr="00EC6153">
              <w:rPr>
                <w:sz w:val="20"/>
                <w:szCs w:val="20"/>
              </w:rPr>
              <w:t xml:space="preserve"> offers generous incentives to investors within its </w:t>
            </w:r>
            <w:r>
              <w:rPr>
                <w:sz w:val="20"/>
                <w:szCs w:val="20"/>
              </w:rPr>
              <w:t>export-oriented free economic zones</w:t>
            </w:r>
            <w:r w:rsidRPr="00EC6153">
              <w:rPr>
                <w:sz w:val="20"/>
                <w:szCs w:val="20"/>
              </w:rPr>
              <w:t>, granting unlimited exemptions for CIT</w:t>
            </w:r>
            <w:r>
              <w:rPr>
                <w:sz w:val="20"/>
                <w:szCs w:val="20"/>
              </w:rPr>
              <w:t>, property tax,</w:t>
            </w:r>
            <w:r w:rsidRPr="00EC6153">
              <w:rPr>
                <w:sz w:val="20"/>
                <w:szCs w:val="20"/>
              </w:rPr>
              <w:t xml:space="preserve"> and VAT to residents. Three zones are in operation and a fourth one </w:t>
            </w:r>
            <w:r>
              <w:rPr>
                <w:sz w:val="20"/>
                <w:szCs w:val="20"/>
              </w:rPr>
              <w:t>was authoris</w:t>
            </w:r>
            <w:r w:rsidRPr="00EC6153">
              <w:rPr>
                <w:sz w:val="20"/>
                <w:szCs w:val="20"/>
              </w:rPr>
              <w:t xml:space="preserve">ed in mid-2019. Investors must </w:t>
            </w:r>
            <w:r>
              <w:rPr>
                <w:sz w:val="20"/>
                <w:szCs w:val="20"/>
              </w:rPr>
              <w:t>apply for</w:t>
            </w:r>
            <w:r w:rsidRPr="00EC6153">
              <w:rPr>
                <w:sz w:val="20"/>
                <w:szCs w:val="20"/>
              </w:rPr>
              <w:t xml:space="preserve"> a residence permit to establish </w:t>
            </w:r>
            <w:r>
              <w:rPr>
                <w:sz w:val="20"/>
                <w:szCs w:val="20"/>
              </w:rPr>
              <w:t>within the zone, but details of</w:t>
            </w:r>
            <w:r w:rsidRPr="00EC6153">
              <w:rPr>
                <w:sz w:val="20"/>
                <w:szCs w:val="20"/>
              </w:rPr>
              <w:t xml:space="preserve"> </w:t>
            </w:r>
            <w:r>
              <w:rPr>
                <w:sz w:val="20"/>
                <w:szCs w:val="20"/>
              </w:rPr>
              <w:t xml:space="preserve">the </w:t>
            </w:r>
            <w:r w:rsidRPr="00EC6153">
              <w:rPr>
                <w:sz w:val="20"/>
                <w:szCs w:val="20"/>
              </w:rPr>
              <w:t>criteria used to select applicant</w:t>
            </w:r>
            <w:r>
              <w:rPr>
                <w:sz w:val="20"/>
                <w:szCs w:val="20"/>
              </w:rPr>
              <w:t>s</w:t>
            </w:r>
            <w:r w:rsidRPr="00EC6153">
              <w:rPr>
                <w:sz w:val="20"/>
                <w:szCs w:val="20"/>
              </w:rPr>
              <w:t xml:space="preserve"> </w:t>
            </w:r>
            <w:r>
              <w:rPr>
                <w:sz w:val="20"/>
                <w:szCs w:val="20"/>
              </w:rPr>
              <w:t>are</w:t>
            </w:r>
            <w:r w:rsidRPr="00EC6153">
              <w:rPr>
                <w:sz w:val="20"/>
                <w:szCs w:val="20"/>
              </w:rPr>
              <w:t xml:space="preserve"> not widely available. </w:t>
            </w:r>
            <w:r>
              <w:rPr>
                <w:sz w:val="20"/>
                <w:szCs w:val="20"/>
              </w:rPr>
              <w:t xml:space="preserve">The zones operate to some degree as enclaves with limited </w:t>
            </w:r>
            <w:r w:rsidRPr="00EC6153">
              <w:rPr>
                <w:sz w:val="20"/>
                <w:szCs w:val="20"/>
              </w:rPr>
              <w:t>linkages with the rest of the economy.</w:t>
            </w:r>
          </w:p>
          <w:p w14:paraId="4DD00B9F" w14:textId="77777777" w:rsidR="00317CDB" w:rsidRPr="00EC6153" w:rsidRDefault="00317CDB" w:rsidP="00D3459C">
            <w:pPr>
              <w:pStyle w:val="Para0"/>
              <w:keepNext/>
              <w:keepLines/>
              <w:rPr>
                <w:sz w:val="20"/>
                <w:szCs w:val="20"/>
              </w:rPr>
            </w:pPr>
            <w:r w:rsidRPr="00EC6153">
              <w:rPr>
                <w:b/>
                <w:sz w:val="20"/>
                <w:szCs w:val="20"/>
              </w:rPr>
              <w:t>Azerbaijan</w:t>
            </w:r>
            <w:r>
              <w:rPr>
                <w:sz w:val="20"/>
                <w:szCs w:val="20"/>
              </w:rPr>
              <w:t xml:space="preserve"> provides</w:t>
            </w:r>
            <w:r w:rsidRPr="00EC6153">
              <w:rPr>
                <w:sz w:val="20"/>
                <w:szCs w:val="20"/>
              </w:rPr>
              <w:t xml:space="preserve"> </w:t>
            </w:r>
            <w:r>
              <w:rPr>
                <w:sz w:val="20"/>
                <w:szCs w:val="20"/>
              </w:rPr>
              <w:t>considerable</w:t>
            </w:r>
            <w:r w:rsidRPr="00EC6153">
              <w:rPr>
                <w:sz w:val="20"/>
                <w:szCs w:val="20"/>
              </w:rPr>
              <w:t xml:space="preserve"> </w:t>
            </w:r>
            <w:r>
              <w:rPr>
                <w:sz w:val="20"/>
                <w:szCs w:val="20"/>
              </w:rPr>
              <w:t xml:space="preserve">fiscal advantages </w:t>
            </w:r>
            <w:r w:rsidRPr="00EC6153">
              <w:rPr>
                <w:sz w:val="20"/>
                <w:szCs w:val="20"/>
              </w:rPr>
              <w:t>to residents of its seven industrial and high-tech parks</w:t>
            </w:r>
            <w:r>
              <w:rPr>
                <w:sz w:val="20"/>
                <w:szCs w:val="20"/>
              </w:rPr>
              <w:t>, including exemption from CIT</w:t>
            </w:r>
            <w:r w:rsidRPr="00EC6153">
              <w:rPr>
                <w:sz w:val="20"/>
                <w:szCs w:val="20"/>
              </w:rPr>
              <w:t xml:space="preserve">, property tax, land tax, and VAT on imported machinery and equipment, for a period of seven years. </w:t>
            </w:r>
            <w:r>
              <w:rPr>
                <w:sz w:val="20"/>
                <w:szCs w:val="20"/>
              </w:rPr>
              <w:t>A pre-requisite for establishing in these zones is the</w:t>
            </w:r>
            <w:r w:rsidRPr="00EC6153">
              <w:rPr>
                <w:sz w:val="20"/>
                <w:szCs w:val="20"/>
              </w:rPr>
              <w:t xml:space="preserve"> receipt of an Investment Promotion Certificate from the Ministry of Industry and Energy</w:t>
            </w:r>
            <w:r>
              <w:rPr>
                <w:sz w:val="20"/>
                <w:szCs w:val="20"/>
              </w:rPr>
              <w:t>, but</w:t>
            </w:r>
            <w:r w:rsidRPr="00EC6153">
              <w:rPr>
                <w:sz w:val="20"/>
                <w:szCs w:val="20"/>
              </w:rPr>
              <w:t xml:space="preserve"> </w:t>
            </w:r>
            <w:r>
              <w:rPr>
                <w:sz w:val="20"/>
                <w:szCs w:val="20"/>
              </w:rPr>
              <w:t>c</w:t>
            </w:r>
            <w:r w:rsidRPr="00EC6153">
              <w:rPr>
                <w:sz w:val="20"/>
                <w:szCs w:val="20"/>
              </w:rPr>
              <w:t xml:space="preserve">riteria used for awarding </w:t>
            </w:r>
            <w:r>
              <w:rPr>
                <w:sz w:val="20"/>
                <w:szCs w:val="20"/>
              </w:rPr>
              <w:t>the</w:t>
            </w:r>
            <w:r w:rsidRPr="00EC6153">
              <w:rPr>
                <w:sz w:val="20"/>
                <w:szCs w:val="20"/>
              </w:rPr>
              <w:t xml:space="preserve"> </w:t>
            </w:r>
            <w:r>
              <w:rPr>
                <w:sz w:val="20"/>
                <w:szCs w:val="20"/>
              </w:rPr>
              <w:t>c</w:t>
            </w:r>
            <w:r w:rsidRPr="00EC6153">
              <w:rPr>
                <w:sz w:val="20"/>
                <w:szCs w:val="20"/>
              </w:rPr>
              <w:t>ertificate</w:t>
            </w:r>
            <w:r>
              <w:rPr>
                <w:sz w:val="20"/>
                <w:szCs w:val="20"/>
              </w:rPr>
              <w:t>s</w:t>
            </w:r>
            <w:r w:rsidRPr="00EC6153">
              <w:rPr>
                <w:sz w:val="20"/>
                <w:szCs w:val="20"/>
              </w:rPr>
              <w:t xml:space="preserve"> are not c</w:t>
            </w:r>
            <w:r>
              <w:rPr>
                <w:sz w:val="20"/>
                <w:szCs w:val="20"/>
              </w:rPr>
              <w:t>learly outlined by authorities.</w:t>
            </w:r>
          </w:p>
          <w:p w14:paraId="415AA256" w14:textId="77777777" w:rsidR="00317CDB" w:rsidRPr="00EC6153" w:rsidRDefault="00317CDB" w:rsidP="00D3459C">
            <w:pPr>
              <w:pStyle w:val="Para0"/>
              <w:keepNext/>
              <w:keepLines/>
              <w:rPr>
                <w:sz w:val="20"/>
                <w:szCs w:val="20"/>
              </w:rPr>
            </w:pPr>
            <w:r w:rsidRPr="00EC6153">
              <w:rPr>
                <w:sz w:val="20"/>
                <w:szCs w:val="20"/>
              </w:rPr>
              <w:t xml:space="preserve">In </w:t>
            </w:r>
            <w:r w:rsidRPr="00EC6153">
              <w:rPr>
                <w:b/>
                <w:sz w:val="20"/>
                <w:szCs w:val="20"/>
              </w:rPr>
              <w:t>Belarus</w:t>
            </w:r>
            <w:r w:rsidRPr="00EC6153">
              <w:rPr>
                <w:sz w:val="20"/>
                <w:szCs w:val="20"/>
              </w:rPr>
              <w:t>, three different types of SEZs exist. The country’s free economic z</w:t>
            </w:r>
            <w:r>
              <w:rPr>
                <w:sz w:val="20"/>
                <w:szCs w:val="20"/>
              </w:rPr>
              <w:t>ones</w:t>
            </w:r>
            <w:r w:rsidRPr="00EC6153">
              <w:rPr>
                <w:sz w:val="20"/>
                <w:szCs w:val="20"/>
              </w:rPr>
              <w:t xml:space="preserve"> are oriented towards export</w:t>
            </w:r>
            <w:r>
              <w:rPr>
                <w:sz w:val="20"/>
                <w:szCs w:val="20"/>
              </w:rPr>
              <w:t>er</w:t>
            </w:r>
            <w:r w:rsidRPr="00EC6153">
              <w:rPr>
                <w:sz w:val="20"/>
                <w:szCs w:val="20"/>
              </w:rPr>
              <w:t>s</w:t>
            </w:r>
            <w:r>
              <w:rPr>
                <w:sz w:val="20"/>
                <w:szCs w:val="20"/>
              </w:rPr>
              <w:t>, with permanent CIT exemptions on exported goods</w:t>
            </w:r>
            <w:r w:rsidRPr="00EC6153">
              <w:rPr>
                <w:sz w:val="20"/>
                <w:szCs w:val="20"/>
              </w:rPr>
              <w:t>. The China-Belarus Great Stone Industrial Park</w:t>
            </w:r>
            <w:r>
              <w:rPr>
                <w:sz w:val="20"/>
                <w:szCs w:val="20"/>
              </w:rPr>
              <w:t>,</w:t>
            </w:r>
            <w:r w:rsidRPr="00EC6153">
              <w:rPr>
                <w:sz w:val="20"/>
                <w:szCs w:val="20"/>
              </w:rPr>
              <w:t xml:space="preserve"> created 2012</w:t>
            </w:r>
            <w:r>
              <w:rPr>
                <w:sz w:val="20"/>
                <w:szCs w:val="20"/>
              </w:rPr>
              <w:t xml:space="preserve"> and modelled after</w:t>
            </w:r>
            <w:r w:rsidRPr="00EC6153">
              <w:rPr>
                <w:sz w:val="20"/>
                <w:szCs w:val="20"/>
              </w:rPr>
              <w:t xml:space="preserve"> the China-Singapore Suzhou Industrial Park</w:t>
            </w:r>
            <w:r>
              <w:rPr>
                <w:sz w:val="20"/>
                <w:szCs w:val="20"/>
              </w:rPr>
              <w:t xml:space="preserve">, prioritises capital- and R&amp;D-intensive industries (e.g. </w:t>
            </w:r>
            <w:r w:rsidRPr="00B93660">
              <w:rPr>
                <w:sz w:val="20"/>
                <w:szCs w:val="20"/>
              </w:rPr>
              <w:t xml:space="preserve">machinery, logistics, </w:t>
            </w:r>
            <w:r>
              <w:rPr>
                <w:sz w:val="20"/>
                <w:szCs w:val="20"/>
              </w:rPr>
              <w:t xml:space="preserve">chemicals, </w:t>
            </w:r>
            <w:r w:rsidRPr="00B93660">
              <w:rPr>
                <w:sz w:val="20"/>
                <w:szCs w:val="20"/>
              </w:rPr>
              <w:t>electronics, big data</w:t>
            </w:r>
            <w:r>
              <w:rPr>
                <w:sz w:val="20"/>
                <w:szCs w:val="20"/>
              </w:rPr>
              <w:t>), and offers a 10 year CIT holiday. High-tech parks</w:t>
            </w:r>
            <w:r w:rsidRPr="00EC6153">
              <w:rPr>
                <w:sz w:val="20"/>
                <w:szCs w:val="20"/>
              </w:rPr>
              <w:t xml:space="preserve"> target </w:t>
            </w:r>
            <w:r>
              <w:rPr>
                <w:sz w:val="20"/>
                <w:szCs w:val="20"/>
              </w:rPr>
              <w:t>IT services and software development, and provide permanent CIT exemption.</w:t>
            </w:r>
          </w:p>
          <w:p w14:paraId="4D129356" w14:textId="77777777" w:rsidR="00317CDB" w:rsidRPr="00EC6153" w:rsidRDefault="00317CDB" w:rsidP="00D3459C">
            <w:pPr>
              <w:pStyle w:val="Para0"/>
              <w:keepNext/>
              <w:keepLines/>
              <w:rPr>
                <w:sz w:val="20"/>
                <w:szCs w:val="20"/>
              </w:rPr>
            </w:pPr>
            <w:r w:rsidRPr="00EC6153">
              <w:rPr>
                <w:sz w:val="20"/>
                <w:szCs w:val="20"/>
              </w:rPr>
              <w:t>Fr</w:t>
            </w:r>
            <w:r>
              <w:rPr>
                <w:sz w:val="20"/>
                <w:szCs w:val="20"/>
              </w:rPr>
              <w:t>ee e</w:t>
            </w:r>
            <w:r w:rsidRPr="00EC6153">
              <w:rPr>
                <w:sz w:val="20"/>
                <w:szCs w:val="20"/>
              </w:rPr>
              <w:t xml:space="preserve">conomic </w:t>
            </w:r>
            <w:r>
              <w:rPr>
                <w:sz w:val="20"/>
                <w:szCs w:val="20"/>
              </w:rPr>
              <w:t>z</w:t>
            </w:r>
            <w:r w:rsidRPr="00EC6153">
              <w:rPr>
                <w:sz w:val="20"/>
                <w:szCs w:val="20"/>
              </w:rPr>
              <w:t xml:space="preserve">ones </w:t>
            </w:r>
            <w:r>
              <w:rPr>
                <w:sz w:val="20"/>
                <w:szCs w:val="20"/>
              </w:rPr>
              <w:t xml:space="preserve">were introduced </w:t>
            </w:r>
            <w:r w:rsidRPr="00EC6153">
              <w:rPr>
                <w:sz w:val="20"/>
                <w:szCs w:val="20"/>
              </w:rPr>
              <w:t xml:space="preserve">in </w:t>
            </w:r>
            <w:r w:rsidRPr="00EC6153">
              <w:rPr>
                <w:b/>
                <w:sz w:val="20"/>
                <w:szCs w:val="20"/>
              </w:rPr>
              <w:t>Moldova</w:t>
            </w:r>
            <w:r w:rsidRPr="00EC6153">
              <w:rPr>
                <w:sz w:val="20"/>
                <w:szCs w:val="20"/>
              </w:rPr>
              <w:t xml:space="preserve"> in 1995. The zones have been successful in attracting investment from both domestic and foreign sources and have become true export platforms, generating a five-fold increase in exported industrial production from the zones between 2004 and 2014 </w:t>
            </w:r>
            <w:r w:rsidRPr="0091662F">
              <w:rPr>
                <w:noProof/>
                <w:sz w:val="20"/>
                <w:szCs w:val="20"/>
              </w:rPr>
              <w:t>(World Bank, 2016)</w:t>
            </w:r>
            <w:r w:rsidRPr="00EC6153">
              <w:rPr>
                <w:sz w:val="20"/>
                <w:szCs w:val="20"/>
              </w:rPr>
              <w:t xml:space="preserve">. </w:t>
            </w:r>
            <w:r>
              <w:rPr>
                <w:sz w:val="20"/>
                <w:szCs w:val="20"/>
              </w:rPr>
              <w:t>The zones</w:t>
            </w:r>
            <w:r w:rsidRPr="00EC6153">
              <w:rPr>
                <w:sz w:val="20"/>
                <w:szCs w:val="20"/>
              </w:rPr>
              <w:t xml:space="preserve"> offer a tax holiday of up to 5 years to investors, followed by a </w:t>
            </w:r>
            <w:r>
              <w:rPr>
                <w:sz w:val="20"/>
                <w:szCs w:val="20"/>
              </w:rPr>
              <w:t>25-50% permanently reduced CIT rate</w:t>
            </w:r>
            <w:r w:rsidRPr="00EC6153">
              <w:rPr>
                <w:sz w:val="20"/>
                <w:szCs w:val="20"/>
              </w:rPr>
              <w:t xml:space="preserve"> </w:t>
            </w:r>
            <w:r>
              <w:rPr>
                <w:sz w:val="20"/>
                <w:szCs w:val="20"/>
              </w:rPr>
              <w:t>thereafter</w:t>
            </w:r>
            <w:r w:rsidRPr="00EC6153">
              <w:rPr>
                <w:sz w:val="20"/>
                <w:szCs w:val="20"/>
              </w:rPr>
              <w:t xml:space="preserve">. While they have been largely successful in boosting export, spillovers to domestic economy have been limited as enterprises operating inside these zones have developed limited linkages with domestic firms. </w:t>
            </w:r>
          </w:p>
          <w:p w14:paraId="5CAB18C4" w14:textId="77777777" w:rsidR="00317CDB" w:rsidRPr="00EC6153" w:rsidRDefault="00317CDB" w:rsidP="00D3459C">
            <w:pPr>
              <w:pStyle w:val="Para0"/>
              <w:keepNext/>
              <w:keepLines/>
              <w:rPr>
                <w:sz w:val="20"/>
                <w:szCs w:val="20"/>
              </w:rPr>
            </w:pPr>
            <w:r>
              <w:rPr>
                <w:sz w:val="20"/>
                <w:szCs w:val="20"/>
              </w:rPr>
              <w:t>Three free industrial z</w:t>
            </w:r>
            <w:r w:rsidRPr="00EC6153">
              <w:rPr>
                <w:sz w:val="20"/>
                <w:szCs w:val="20"/>
              </w:rPr>
              <w:t xml:space="preserve">ones are currently in operation in </w:t>
            </w:r>
            <w:r w:rsidRPr="00EC6153">
              <w:rPr>
                <w:b/>
                <w:sz w:val="20"/>
                <w:szCs w:val="20"/>
              </w:rPr>
              <w:t>Georgia</w:t>
            </w:r>
            <w:r>
              <w:rPr>
                <w:sz w:val="20"/>
                <w:szCs w:val="20"/>
              </w:rPr>
              <w:t>, and generous fiscal advantages</w:t>
            </w:r>
            <w:r w:rsidRPr="00EC6153">
              <w:rPr>
                <w:sz w:val="20"/>
                <w:szCs w:val="20"/>
              </w:rPr>
              <w:t xml:space="preserve"> </w:t>
            </w:r>
            <w:r>
              <w:rPr>
                <w:sz w:val="20"/>
                <w:szCs w:val="20"/>
              </w:rPr>
              <w:t xml:space="preserve">to investors, who are </w:t>
            </w:r>
            <w:r w:rsidRPr="00EC6153">
              <w:rPr>
                <w:sz w:val="20"/>
                <w:szCs w:val="20"/>
              </w:rPr>
              <w:t xml:space="preserve">permanently exempt from </w:t>
            </w:r>
            <w:r>
              <w:rPr>
                <w:sz w:val="20"/>
                <w:szCs w:val="20"/>
              </w:rPr>
              <w:t xml:space="preserve">CIT, </w:t>
            </w:r>
            <w:r w:rsidRPr="00EC6153">
              <w:rPr>
                <w:sz w:val="20"/>
                <w:szCs w:val="20"/>
              </w:rPr>
              <w:t xml:space="preserve">property tax, </w:t>
            </w:r>
            <w:r>
              <w:rPr>
                <w:sz w:val="20"/>
                <w:szCs w:val="20"/>
              </w:rPr>
              <w:t>and VAT on imports</w:t>
            </w:r>
            <w:r w:rsidRPr="00EC6153">
              <w:rPr>
                <w:sz w:val="20"/>
                <w:szCs w:val="20"/>
              </w:rPr>
              <w:t xml:space="preserve">. Customs duties are charged at a 4% </w:t>
            </w:r>
            <w:r>
              <w:rPr>
                <w:sz w:val="20"/>
                <w:szCs w:val="20"/>
              </w:rPr>
              <w:t>on sales to and imports from</w:t>
            </w:r>
            <w:r w:rsidRPr="00EC6153">
              <w:rPr>
                <w:sz w:val="20"/>
                <w:szCs w:val="20"/>
              </w:rPr>
              <w:t xml:space="preserve"> mainland Georgia.</w:t>
            </w:r>
          </w:p>
          <w:p w14:paraId="2AE1FED5" w14:textId="77777777" w:rsidR="00317CDB" w:rsidRPr="00EC6153" w:rsidRDefault="00317CDB" w:rsidP="00D3459C">
            <w:pPr>
              <w:pStyle w:val="Para0"/>
              <w:keepNext/>
              <w:keepLines/>
              <w:rPr>
                <w:sz w:val="20"/>
              </w:rPr>
            </w:pPr>
            <w:r w:rsidRPr="00EC6153">
              <w:rPr>
                <w:b/>
                <w:sz w:val="20"/>
                <w:szCs w:val="20"/>
              </w:rPr>
              <w:t>Ukraine</w:t>
            </w:r>
            <w:r>
              <w:rPr>
                <w:sz w:val="20"/>
                <w:szCs w:val="20"/>
              </w:rPr>
              <w:t xml:space="preserve"> established a legal regime for SEZs in 1998; but a 2005 </w:t>
            </w:r>
            <w:r w:rsidRPr="00EC6153">
              <w:rPr>
                <w:sz w:val="20"/>
                <w:szCs w:val="20"/>
              </w:rPr>
              <w:t xml:space="preserve">law abolished both the customs and </w:t>
            </w:r>
            <w:r>
              <w:rPr>
                <w:sz w:val="20"/>
                <w:szCs w:val="20"/>
              </w:rPr>
              <w:t>tax preferences</w:t>
            </w:r>
            <w:r w:rsidRPr="00EC6153">
              <w:rPr>
                <w:sz w:val="20"/>
                <w:szCs w:val="20"/>
              </w:rPr>
              <w:t xml:space="preserve"> granted to these zones</w:t>
            </w:r>
            <w:r>
              <w:rPr>
                <w:sz w:val="20"/>
                <w:szCs w:val="20"/>
              </w:rPr>
              <w:t>,</w:t>
            </w:r>
            <w:r w:rsidRPr="00EC6153">
              <w:rPr>
                <w:sz w:val="20"/>
                <w:szCs w:val="20"/>
              </w:rPr>
              <w:t xml:space="preserve"> and zones were formally closed in 2016</w:t>
            </w:r>
            <w:r>
              <w:rPr>
                <w:noProof/>
                <w:sz w:val="20"/>
                <w:szCs w:val="20"/>
              </w:rPr>
              <w:t xml:space="preserve"> </w:t>
            </w:r>
            <w:r w:rsidRPr="0091662F">
              <w:rPr>
                <w:noProof/>
                <w:sz w:val="20"/>
                <w:szCs w:val="20"/>
              </w:rPr>
              <w:t>(OECD, 2016</w:t>
            </w:r>
            <w:r>
              <w:rPr>
                <w:noProof/>
                <w:sz w:val="20"/>
                <w:szCs w:val="20"/>
              </w:rPr>
              <w:t>b</w:t>
            </w:r>
            <w:r w:rsidRPr="0091662F">
              <w:rPr>
                <w:noProof/>
                <w:sz w:val="20"/>
                <w:szCs w:val="20"/>
              </w:rPr>
              <w:t>)</w:t>
            </w:r>
            <w:r w:rsidRPr="00EC6153">
              <w:rPr>
                <w:sz w:val="20"/>
                <w:szCs w:val="20"/>
              </w:rPr>
              <w:t>. The 2</w:t>
            </w:r>
            <w:r>
              <w:rPr>
                <w:sz w:val="20"/>
                <w:szCs w:val="20"/>
              </w:rPr>
              <w:t>012 Law on Industrial Parks</w:t>
            </w:r>
            <w:r w:rsidRPr="00EC6153">
              <w:rPr>
                <w:sz w:val="20"/>
                <w:szCs w:val="20"/>
              </w:rPr>
              <w:t xml:space="preserve"> </w:t>
            </w:r>
            <w:r>
              <w:rPr>
                <w:sz w:val="20"/>
                <w:szCs w:val="20"/>
              </w:rPr>
              <w:t>set out</w:t>
            </w:r>
            <w:r w:rsidRPr="00EC6153">
              <w:rPr>
                <w:sz w:val="20"/>
                <w:szCs w:val="20"/>
              </w:rPr>
              <w:t xml:space="preserve"> the legal </w:t>
            </w:r>
            <w:r>
              <w:rPr>
                <w:sz w:val="20"/>
                <w:szCs w:val="20"/>
              </w:rPr>
              <w:t>framework</w:t>
            </w:r>
            <w:r w:rsidRPr="00EC6153">
              <w:rPr>
                <w:sz w:val="20"/>
                <w:szCs w:val="20"/>
              </w:rPr>
              <w:t xml:space="preserve"> for </w:t>
            </w:r>
            <w:r>
              <w:rPr>
                <w:sz w:val="20"/>
                <w:szCs w:val="20"/>
              </w:rPr>
              <w:t>i</w:t>
            </w:r>
            <w:r w:rsidRPr="00EC6153">
              <w:rPr>
                <w:sz w:val="20"/>
                <w:szCs w:val="20"/>
              </w:rPr>
              <w:t xml:space="preserve">ndustrial </w:t>
            </w:r>
            <w:r>
              <w:rPr>
                <w:sz w:val="20"/>
                <w:szCs w:val="20"/>
              </w:rPr>
              <w:t>p</w:t>
            </w:r>
            <w:r w:rsidRPr="00EC6153">
              <w:rPr>
                <w:sz w:val="20"/>
                <w:szCs w:val="20"/>
              </w:rPr>
              <w:t>arks of which over 50 are currently in operation in Ukraine</w:t>
            </w:r>
            <w:r>
              <w:rPr>
                <w:sz w:val="20"/>
                <w:szCs w:val="20"/>
              </w:rPr>
              <w:t>, which does not offer special fiscal treatment to residents.</w:t>
            </w:r>
          </w:p>
        </w:tc>
      </w:tr>
    </w:tbl>
    <w:p w14:paraId="564A454B" w14:textId="7CE72C27" w:rsidR="00317CDB" w:rsidRDefault="00317CDB" w:rsidP="00AA5FD0">
      <w:pPr>
        <w:pStyle w:val="Para0"/>
      </w:pPr>
    </w:p>
    <w:p w14:paraId="610423C7" w14:textId="77777777" w:rsidR="00C83503" w:rsidRDefault="00C83503" w:rsidP="00C83503">
      <w:pPr>
        <w:pStyle w:val="Para0"/>
      </w:pPr>
    </w:p>
    <w:p w14:paraId="76DD79E8" w14:textId="77777777" w:rsidR="00C83503" w:rsidRDefault="00C83503" w:rsidP="00C83503">
      <w:pPr>
        <w:pStyle w:val="Para0"/>
        <w:ind w:left="0"/>
        <w:sectPr w:rsidR="00C83503">
          <w:pgSz w:w="11906" w:h="16838"/>
          <w:pgMar w:top="1440" w:right="1440" w:bottom="1440" w:left="1440" w:header="708" w:footer="708" w:gutter="0"/>
          <w:cols w:space="708"/>
          <w:docGrid w:linePitch="360"/>
        </w:sectPr>
      </w:pPr>
    </w:p>
    <w:p w14:paraId="41680423" w14:textId="07530812" w:rsidR="007B184E" w:rsidRDefault="00465412" w:rsidP="007B184E">
      <w:pPr>
        <w:pStyle w:val="Heading9"/>
      </w:pPr>
      <w:bookmarkStart w:id="128" w:name="_Toc31228357"/>
      <w:bookmarkStart w:id="129" w:name="_Toc31983293"/>
      <w:bookmarkStart w:id="130" w:name="_Toc33443304"/>
      <w:bookmarkStart w:id="131" w:name="_Ref24559908"/>
      <w:r>
        <w:lastRenderedPageBreak/>
        <w:t>I</w:t>
      </w:r>
      <w:r w:rsidR="00096745">
        <w:t>ncentives in SEZs</w:t>
      </w:r>
      <w:bookmarkEnd w:id="128"/>
      <w:bookmarkEnd w:id="129"/>
      <w:bookmarkEnd w:id="130"/>
    </w:p>
    <w:p w14:paraId="299AB9B6" w14:textId="3E9993E4" w:rsidR="00C83503" w:rsidRDefault="007B184E" w:rsidP="007B184E">
      <w:pPr>
        <w:pStyle w:val="Caption"/>
      </w:pPr>
      <w:bookmarkStart w:id="132" w:name="_Toc31983259"/>
      <w:bookmarkStart w:id="133" w:name="_Toc33443324"/>
      <w:r>
        <w:t xml:space="preserve">Annex Table </w:t>
      </w:r>
      <w:fldSimple w:instr=" STYLEREF 9 \s ">
        <w:r w:rsidR="00DC4D16">
          <w:rPr>
            <w:noProof/>
          </w:rPr>
          <w:t>4.A</w:t>
        </w:r>
      </w:fldSimple>
      <w:r>
        <w:t>.</w:t>
      </w:r>
      <w:r>
        <w:rPr>
          <w:noProof/>
        </w:rPr>
        <w:fldChar w:fldCharType="begin"/>
      </w:r>
      <w:r>
        <w:rPr>
          <w:noProof/>
        </w:rPr>
        <w:instrText xml:space="preserve"> SEQ Annex_Table \* ARABIC \s 9 </w:instrText>
      </w:r>
      <w:r>
        <w:rPr>
          <w:noProof/>
        </w:rPr>
        <w:fldChar w:fldCharType="separate"/>
      </w:r>
      <w:r w:rsidR="00DC4D16">
        <w:rPr>
          <w:noProof/>
        </w:rPr>
        <w:t>1</w:t>
      </w:r>
      <w:r>
        <w:rPr>
          <w:noProof/>
        </w:rPr>
        <w:fldChar w:fldCharType="end"/>
      </w:r>
      <w:r>
        <w:t>. Overview of tax incentives available to investors in SEZs</w:t>
      </w:r>
      <w:bookmarkEnd w:id="131"/>
      <w:bookmarkEnd w:id="132"/>
      <w:bookmarkEnd w:id="133"/>
    </w:p>
    <w:tbl>
      <w:tblPr>
        <w:tblStyle w:val="ListTable3-Accent1"/>
        <w:tblpPr w:leftFromText="180" w:rightFromText="180" w:vertAnchor="text" w:horzAnchor="margin" w:tblpY="17"/>
        <w:tblW w:w="1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16"/>
        <w:gridCol w:w="1617"/>
        <w:gridCol w:w="1616"/>
        <w:gridCol w:w="1617"/>
        <w:gridCol w:w="1616"/>
        <w:gridCol w:w="1617"/>
        <w:gridCol w:w="1616"/>
        <w:gridCol w:w="1617"/>
      </w:tblGrid>
      <w:tr w:rsidR="00275C05" w:rsidRPr="00292951" w14:paraId="74373E0A" w14:textId="77777777" w:rsidTr="0011449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100" w:type="dxa"/>
            <w:tcBorders>
              <w:top w:val="nil"/>
              <w:left w:val="nil"/>
              <w:bottom w:val="single" w:sz="4" w:space="0" w:color="FFFFFF" w:themeColor="background1"/>
              <w:right w:val="single" w:sz="4" w:space="0" w:color="FFFFFF" w:themeColor="background1"/>
            </w:tcBorders>
            <w:shd w:val="clear" w:color="auto" w:fill="1F497D" w:themeFill="text2"/>
            <w:noWrap/>
            <w:vAlign w:val="center"/>
            <w:hideMark/>
          </w:tcPr>
          <w:p w14:paraId="2FD33B7B" w14:textId="42A31CB9" w:rsidR="00275C05" w:rsidRPr="00292951" w:rsidRDefault="00275C05" w:rsidP="0011449E">
            <w:pPr>
              <w:pStyle w:val="TableColumn"/>
              <w:rPr>
                <w:lang w:eastAsia="en-GB"/>
              </w:rPr>
            </w:pPr>
          </w:p>
        </w:tc>
        <w:tc>
          <w:tcPr>
            <w:tcW w:w="1616" w:type="dxa"/>
            <w:tcBorders>
              <w:top w:val="nil"/>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559DB8A5" w14:textId="77777777" w:rsidR="00275C05" w:rsidRPr="004C0E23" w:rsidRDefault="00275C05" w:rsidP="0011449E">
            <w:pPr>
              <w:pStyle w:val="TableColumn"/>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4C0E23">
              <w:rPr>
                <w:color w:val="FFFFFF" w:themeColor="background1"/>
                <w:lang w:eastAsia="en-GB"/>
              </w:rPr>
              <w:t>Armenia</w:t>
            </w:r>
          </w:p>
        </w:tc>
        <w:tc>
          <w:tcPr>
            <w:tcW w:w="1617" w:type="dxa"/>
            <w:tcBorders>
              <w:top w:val="nil"/>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1EC17F6A" w14:textId="77777777" w:rsidR="00275C05" w:rsidRPr="004C0E23" w:rsidRDefault="00275C05" w:rsidP="0011449E">
            <w:pPr>
              <w:pStyle w:val="TableColumn"/>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4C0E23">
              <w:rPr>
                <w:color w:val="FFFFFF" w:themeColor="background1"/>
                <w:lang w:eastAsia="en-GB"/>
              </w:rPr>
              <w:t>Azerbaijan</w:t>
            </w:r>
          </w:p>
        </w:tc>
        <w:tc>
          <w:tcPr>
            <w:tcW w:w="4849"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72EDC1B8" w14:textId="0F4045F1" w:rsidR="00275C05" w:rsidRPr="004C0E23" w:rsidRDefault="00275C05" w:rsidP="0011449E">
            <w:pPr>
              <w:pStyle w:val="TableColumn"/>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4C0E23">
              <w:rPr>
                <w:color w:val="FFFFFF" w:themeColor="background1"/>
                <w:lang w:eastAsia="en-GB"/>
              </w:rPr>
              <w:t>Belarus</w:t>
            </w:r>
          </w:p>
        </w:tc>
        <w:tc>
          <w:tcPr>
            <w:tcW w:w="1617" w:type="dxa"/>
            <w:tcBorders>
              <w:top w:val="nil"/>
              <w:left w:val="single" w:sz="4" w:space="0" w:color="FFFFFF" w:themeColor="background1"/>
              <w:bottom w:val="single" w:sz="4" w:space="0" w:color="FFFFFF" w:themeColor="background1"/>
              <w:right w:val="single" w:sz="4" w:space="0" w:color="FFFFFF" w:themeColor="background1"/>
            </w:tcBorders>
            <w:shd w:val="clear" w:color="auto" w:fill="1F497D" w:themeFill="text2"/>
            <w:noWrap/>
            <w:vAlign w:val="center"/>
            <w:hideMark/>
          </w:tcPr>
          <w:p w14:paraId="768D3441" w14:textId="72138BF9" w:rsidR="00275C05" w:rsidRPr="004C0E23" w:rsidRDefault="00275C05" w:rsidP="0011449E">
            <w:pPr>
              <w:pStyle w:val="TableColumn"/>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4C0E23">
              <w:rPr>
                <w:color w:val="FFFFFF" w:themeColor="background1"/>
                <w:lang w:eastAsia="en-GB"/>
              </w:rPr>
              <w:t>Georgia</w:t>
            </w:r>
          </w:p>
        </w:tc>
        <w:tc>
          <w:tcPr>
            <w:tcW w:w="3233" w:type="dxa"/>
            <w:gridSpan w:val="2"/>
            <w:tcBorders>
              <w:top w:val="nil"/>
              <w:left w:val="single" w:sz="4" w:space="0" w:color="FFFFFF" w:themeColor="background1"/>
              <w:bottom w:val="single" w:sz="4" w:space="0" w:color="FFFFFF" w:themeColor="background1"/>
              <w:right w:val="nil"/>
            </w:tcBorders>
            <w:shd w:val="clear" w:color="auto" w:fill="1F497D" w:themeFill="text2"/>
            <w:noWrap/>
            <w:vAlign w:val="center"/>
            <w:hideMark/>
          </w:tcPr>
          <w:p w14:paraId="221AABA3" w14:textId="73DC75DC" w:rsidR="00275C05" w:rsidRPr="004C0E23" w:rsidRDefault="00275C05" w:rsidP="0011449E">
            <w:pPr>
              <w:pStyle w:val="TableColumn"/>
              <w:cnfStyle w:val="100000000000" w:firstRow="1" w:lastRow="0" w:firstColumn="0" w:lastColumn="0" w:oddVBand="0" w:evenVBand="0" w:oddHBand="0" w:evenHBand="0" w:firstRowFirstColumn="0" w:firstRowLastColumn="0" w:lastRowFirstColumn="0" w:lastRowLastColumn="0"/>
              <w:rPr>
                <w:color w:val="FFFFFF" w:themeColor="background1"/>
                <w:lang w:eastAsia="en-GB"/>
              </w:rPr>
            </w:pPr>
            <w:r w:rsidRPr="004C0E23">
              <w:rPr>
                <w:color w:val="FFFFFF" w:themeColor="background1"/>
                <w:lang w:eastAsia="en-GB"/>
              </w:rPr>
              <w:t>Moldova</w:t>
            </w:r>
          </w:p>
        </w:tc>
      </w:tr>
      <w:tr w:rsidR="000E72AA" w:rsidRPr="00292951" w14:paraId="1066B363" w14:textId="77777777" w:rsidTr="001144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0653FDD2" w14:textId="6920E36B" w:rsidR="00184862" w:rsidRPr="00F16405" w:rsidRDefault="000E72AA" w:rsidP="0011449E">
            <w:pPr>
              <w:pStyle w:val="TableRow"/>
              <w:rPr>
                <w:color w:val="FFFFFF" w:themeColor="background1"/>
                <w:lang w:eastAsia="en-GB"/>
              </w:rPr>
            </w:pPr>
            <w:r>
              <w:rPr>
                <w:color w:val="FFFFFF" w:themeColor="background1"/>
                <w:lang w:eastAsia="en-GB"/>
              </w:rPr>
              <w:t>Type of SEZ</w:t>
            </w:r>
            <w:r w:rsidR="00184862" w:rsidRPr="00F16405">
              <w:rPr>
                <w:color w:val="FFFFFF" w:themeColor="background1"/>
                <w:lang w:eastAsia="en-GB"/>
              </w:rPr>
              <w:t xml:space="preserve"> </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5F3D2240"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Free Economic Zones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4757DD99"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Industrial and Technology Parks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10DD0316"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Free Economic Zones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09CC27EE"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High-Technology Parks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tcPr>
          <w:p w14:paraId="41CD4DD9" w14:textId="0F0427B8"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Pr>
                <w:b/>
                <w:color w:val="FFFFFF" w:themeColor="background1"/>
                <w:lang w:eastAsia="en-GB"/>
              </w:rPr>
              <w:t>Great Stone Industrial Park</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78248D21" w14:textId="262DB033"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Free Industrial Zones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48DD4" w:themeFill="text2" w:themeFillTint="99"/>
            <w:hideMark/>
          </w:tcPr>
          <w:p w14:paraId="2D47299E"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sidRPr="00F16405">
              <w:rPr>
                <w:b/>
                <w:color w:val="FFFFFF" w:themeColor="background1"/>
                <w:lang w:eastAsia="en-GB"/>
              </w:rPr>
              <w:t>Free Economic Zones</w:t>
            </w:r>
          </w:p>
        </w:tc>
        <w:tc>
          <w:tcPr>
            <w:tcW w:w="1617" w:type="dxa"/>
            <w:tcBorders>
              <w:top w:val="single" w:sz="4" w:space="0" w:color="FFFFFF" w:themeColor="background1"/>
              <w:left w:val="single" w:sz="4" w:space="0" w:color="FFFFFF" w:themeColor="background1"/>
              <w:bottom w:val="single" w:sz="4" w:space="0" w:color="FFFFFF" w:themeColor="background1"/>
              <w:right w:val="nil"/>
            </w:tcBorders>
            <w:shd w:val="clear" w:color="auto" w:fill="548DD4" w:themeFill="text2" w:themeFillTint="99"/>
          </w:tcPr>
          <w:p w14:paraId="1E146B57" w14:textId="77777777" w:rsidR="00184862" w:rsidRPr="00F16405" w:rsidRDefault="00184862" w:rsidP="0011449E">
            <w:pPr>
              <w:pStyle w:val="TableColumn"/>
              <w:cnfStyle w:val="000000100000" w:firstRow="0" w:lastRow="0" w:firstColumn="0" w:lastColumn="0" w:oddVBand="0" w:evenVBand="0" w:oddHBand="1" w:evenHBand="0" w:firstRowFirstColumn="0" w:firstRowLastColumn="0" w:lastRowFirstColumn="0" w:lastRowLastColumn="0"/>
              <w:rPr>
                <w:b/>
                <w:color w:val="FFFFFF" w:themeColor="background1"/>
                <w:lang w:eastAsia="en-GB"/>
              </w:rPr>
            </w:pPr>
            <w:r>
              <w:rPr>
                <w:b/>
                <w:color w:val="FFFFFF" w:themeColor="background1"/>
                <w:lang w:eastAsia="en-GB"/>
              </w:rPr>
              <w:t>Information Technology Parks</w:t>
            </w:r>
          </w:p>
        </w:tc>
      </w:tr>
      <w:tr w:rsidR="000E72AA" w:rsidRPr="00292951" w14:paraId="2BD5F965" w14:textId="77777777" w:rsidTr="0011449E">
        <w:trPr>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4EFC9B14" w14:textId="003F6053" w:rsidR="00184862" w:rsidRPr="005468F9" w:rsidRDefault="00184862" w:rsidP="0011449E">
            <w:pPr>
              <w:pStyle w:val="TableRow"/>
              <w:rPr>
                <w:color w:val="FFFFFF" w:themeColor="background1"/>
                <w:lang w:eastAsia="en-GB"/>
              </w:rPr>
            </w:pPr>
            <w:r w:rsidRPr="005468F9">
              <w:rPr>
                <w:color w:val="FFFFFF" w:themeColor="background1"/>
                <w:lang w:eastAsia="en-GB"/>
              </w:rPr>
              <w:t xml:space="preserve">Legal </w:t>
            </w:r>
            <w:r w:rsidR="000E72AA">
              <w:rPr>
                <w:color w:val="FFFFFF" w:themeColor="background1"/>
                <w:lang w:eastAsia="en-GB"/>
              </w:rPr>
              <w:t>r</w:t>
            </w:r>
            <w:r w:rsidRPr="005468F9">
              <w:rPr>
                <w:color w:val="FFFFFF" w:themeColor="background1"/>
                <w:lang w:eastAsia="en-GB"/>
              </w:rPr>
              <w:t>eference</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4BD63E5C" w14:textId="77777777"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Law on Free Economic Zones (2011)</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75231F11" w14:textId="77777777"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 xml:space="preserve">Law on Special Economic Zones (2009) </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5F6BD299" w14:textId="77777777"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Law on Free Economic Zones (1998)</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467B2880" w14:textId="16758B02" w:rsidR="00184862" w:rsidRPr="007B184E"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Presidential </w:t>
            </w:r>
            <w:r w:rsidR="00184862" w:rsidRPr="007B184E">
              <w:rPr>
                <w:lang w:eastAsia="en-GB"/>
              </w:rPr>
              <w:t>Decree No. 12 (2005) and No. 8 (2017)</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655E1621" w14:textId="557DAA9B" w:rsidR="00184862" w:rsidRPr="007B184E"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Presidential Decree No. 166 (2012)</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7DCD8612" w14:textId="7C3055F2"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Law on Free Economic Zones (2007)</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509D5CFF" w14:textId="77777777"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Law on Free Economic Zones (2001)</w:t>
            </w:r>
          </w:p>
        </w:tc>
        <w:tc>
          <w:tcPr>
            <w:tcW w:w="1617" w:type="dxa"/>
            <w:tcBorders>
              <w:top w:val="single" w:sz="4" w:space="0" w:color="FFFFFF" w:themeColor="background1"/>
              <w:left w:val="single" w:sz="4" w:space="0" w:color="FFFFFF" w:themeColor="background1"/>
              <w:bottom w:val="single" w:sz="4" w:space="0" w:color="FFFFFF" w:themeColor="background1"/>
              <w:right w:val="nil"/>
            </w:tcBorders>
            <w:shd w:val="clear" w:color="auto" w:fill="DBE5F1" w:themeFill="accent1" w:themeFillTint="33"/>
          </w:tcPr>
          <w:p w14:paraId="4005713D" w14:textId="77777777" w:rsidR="00184862" w:rsidRPr="007B184E"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7B184E">
              <w:rPr>
                <w:lang w:eastAsia="en-GB"/>
              </w:rPr>
              <w:t>Law on Information Technology Parks (2017)</w:t>
            </w:r>
          </w:p>
        </w:tc>
      </w:tr>
      <w:tr w:rsidR="000E72AA" w:rsidRPr="00292951" w14:paraId="7A64FFF3" w14:textId="77777777" w:rsidTr="001144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4ACD4F10" w14:textId="7457BDD2" w:rsidR="000E72AA" w:rsidRPr="005468F9" w:rsidRDefault="000E72AA" w:rsidP="0011449E">
            <w:pPr>
              <w:pStyle w:val="TableRow"/>
              <w:rPr>
                <w:color w:val="FFFFFF" w:themeColor="background1"/>
                <w:lang w:eastAsia="en-GB"/>
              </w:rPr>
            </w:pPr>
            <w:r w:rsidRPr="005468F9">
              <w:rPr>
                <w:color w:val="FFFFFF" w:themeColor="background1"/>
                <w:lang w:eastAsia="en-GB"/>
              </w:rPr>
              <w:t xml:space="preserve">Corporate </w:t>
            </w:r>
            <w:r>
              <w:rPr>
                <w:color w:val="FFFFFF" w:themeColor="background1"/>
                <w:lang w:eastAsia="en-GB"/>
              </w:rPr>
              <w:br/>
              <w:t>i</w:t>
            </w:r>
            <w:r w:rsidRPr="005468F9">
              <w:rPr>
                <w:color w:val="FFFFFF" w:themeColor="background1"/>
                <w:lang w:eastAsia="en-GB"/>
              </w:rPr>
              <w:t xml:space="preserve">ncome </w:t>
            </w:r>
            <w:r>
              <w:rPr>
                <w:color w:val="FFFFFF" w:themeColor="background1"/>
                <w:lang w:eastAsia="en-GB"/>
              </w:rPr>
              <w:t>t</w:t>
            </w:r>
            <w:r w:rsidRPr="005468F9">
              <w:rPr>
                <w:color w:val="FFFFFF" w:themeColor="background1"/>
                <w:lang w:eastAsia="en-GB"/>
              </w:rPr>
              <w:t>ax</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415EFB91"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73E5D2F2"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Holiday</w:t>
            </w:r>
            <w:r w:rsidRPr="00292951">
              <w:rPr>
                <w:lang w:eastAsia="en-GB"/>
              </w:rPr>
              <w:t xml:space="preserve"> (7 years)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52DA95FC"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r w:rsidRPr="00292951">
              <w:rPr>
                <w:lang w:eastAsia="en-GB"/>
              </w:rPr>
              <w:t xml:space="preserve"> for exports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26B8B8FE"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0E88FD2B" w14:textId="28C7C252"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Holiday (10 years) </w:t>
            </w:r>
            <w:r w:rsidR="006F2ADA">
              <w:rPr>
                <w:lang w:eastAsia="en-GB"/>
              </w:rPr>
              <w:t>+ 50% reduced rate</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179DB6F3" w14:textId="6583DB82"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1880577B" w14:textId="72CA8B11" w:rsidR="000E72AA" w:rsidRPr="00292951" w:rsidRDefault="000E72AA" w:rsidP="00C108F3">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Holiday</w:t>
            </w:r>
            <w:r w:rsidRPr="00292951">
              <w:rPr>
                <w:lang w:eastAsia="en-GB"/>
              </w:rPr>
              <w:t xml:space="preserve"> </w:t>
            </w:r>
            <w:r w:rsidR="006F2ADA">
              <w:rPr>
                <w:lang w:eastAsia="en-GB"/>
              </w:rPr>
              <w:t>(</w:t>
            </w:r>
            <w:r w:rsidRPr="00292951">
              <w:rPr>
                <w:lang w:eastAsia="en-GB"/>
              </w:rPr>
              <w:t>5 years</w:t>
            </w:r>
            <w:r w:rsidR="006F2ADA">
              <w:rPr>
                <w:lang w:eastAsia="en-GB"/>
              </w:rPr>
              <w:t>)</w:t>
            </w:r>
            <w:r w:rsidRPr="00292951">
              <w:rPr>
                <w:lang w:eastAsia="en-GB"/>
              </w:rPr>
              <w:t xml:space="preserve"> </w:t>
            </w:r>
            <w:r w:rsidR="006F2ADA">
              <w:rPr>
                <w:lang w:eastAsia="en-GB"/>
              </w:rPr>
              <w:t>+</w:t>
            </w:r>
            <w:r w:rsidRPr="00292951">
              <w:rPr>
                <w:lang w:eastAsia="en-GB"/>
              </w:rPr>
              <w:t xml:space="preserve"> </w:t>
            </w:r>
            <w:r w:rsidR="006F2ADA">
              <w:rPr>
                <w:lang w:eastAsia="en-GB"/>
              </w:rPr>
              <w:t xml:space="preserve"> </w:t>
            </w:r>
            <w:r w:rsidRPr="00292951">
              <w:rPr>
                <w:lang w:eastAsia="en-GB"/>
              </w:rPr>
              <w:t xml:space="preserve">reduced </w:t>
            </w:r>
            <w:r w:rsidR="006F2ADA">
              <w:rPr>
                <w:lang w:eastAsia="en-GB"/>
              </w:rPr>
              <w:t>rate</w:t>
            </w:r>
            <w:r w:rsidR="00C108F3">
              <w:rPr>
                <w:lang w:eastAsia="en-GB"/>
              </w:rPr>
              <w:t xml:space="preserve"> of 25% or 50% (exports)</w:t>
            </w:r>
          </w:p>
        </w:tc>
        <w:tc>
          <w:tcPr>
            <w:tcW w:w="1617" w:type="dxa"/>
            <w:tcBorders>
              <w:top w:val="single" w:sz="4" w:space="0" w:color="FFFFFF" w:themeColor="background1"/>
              <w:left w:val="single" w:sz="4" w:space="0" w:color="FFFFFF" w:themeColor="background1"/>
              <w:bottom w:val="nil"/>
              <w:right w:val="nil"/>
            </w:tcBorders>
            <w:shd w:val="clear" w:color="auto" w:fill="DBE5F1" w:themeFill="accent1" w:themeFillTint="33"/>
            <w:vAlign w:val="center"/>
          </w:tcPr>
          <w:p w14:paraId="0EA8BCF0" w14:textId="0C67C0C3"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Unified</w:t>
            </w:r>
            <w:r w:rsidRPr="00ED6077">
              <w:rPr>
                <w:lang w:eastAsia="en-GB"/>
              </w:rPr>
              <w:t xml:space="preserve"> tax of 7% of sales revenue</w:t>
            </w:r>
          </w:p>
        </w:tc>
      </w:tr>
      <w:tr w:rsidR="00726224" w:rsidRPr="00292951" w14:paraId="4FF42DF4" w14:textId="77777777" w:rsidTr="0011449E">
        <w:trPr>
          <w:trHeight w:val="283"/>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tcPr>
          <w:p w14:paraId="33DE6240" w14:textId="4E5E9F17" w:rsidR="00726224" w:rsidRDefault="00726224" w:rsidP="0011449E">
            <w:pPr>
              <w:pStyle w:val="TableRow"/>
              <w:rPr>
                <w:color w:val="FFFFFF" w:themeColor="background1"/>
                <w:lang w:eastAsia="en-GB"/>
              </w:rPr>
            </w:pPr>
            <w:r>
              <w:rPr>
                <w:color w:val="FFFFFF" w:themeColor="background1"/>
                <w:lang w:eastAsia="en-GB"/>
              </w:rPr>
              <w:t>Property tax</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756BF728" w14:textId="3987A3C8" w:rsidR="00726224" w:rsidRPr="00292951"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Exemption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49F5BC6E" w14:textId="35A3F7DD" w:rsidR="00726224"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Holiday</w:t>
            </w:r>
            <w:r w:rsidRPr="00292951">
              <w:rPr>
                <w:lang w:eastAsia="en-GB"/>
              </w:rPr>
              <w:t xml:space="preserve"> (7 years)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734AAE63" w14:textId="31B3A5C9" w:rsidR="00726224"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Holiday (3 years)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1310F16C" w14:textId="3BCE20ED" w:rsidR="00726224" w:rsidRPr="00292951"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Exemption</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0C0A6D9E" w14:textId="41DFE2A4" w:rsidR="00726224" w:rsidRPr="00292951"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Exemption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071BEE6A" w14:textId="2360E693" w:rsidR="00726224" w:rsidRPr="00292951" w:rsidRDefault="00591077"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Exemption</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60BD5" w14:textId="77777777" w:rsidR="00726224" w:rsidRPr="00292951"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p>
        </w:tc>
        <w:tc>
          <w:tcPr>
            <w:tcW w:w="1617" w:type="dxa"/>
            <w:tcBorders>
              <w:top w:val="nil"/>
              <w:left w:val="single" w:sz="4" w:space="0" w:color="FFFFFF" w:themeColor="background1"/>
              <w:bottom w:val="nil"/>
              <w:right w:val="nil"/>
            </w:tcBorders>
            <w:shd w:val="clear" w:color="auto" w:fill="DBE5F1" w:themeFill="accent1" w:themeFillTint="33"/>
          </w:tcPr>
          <w:p w14:paraId="7850D479" w14:textId="77777777" w:rsidR="00726224" w:rsidRPr="00292951" w:rsidRDefault="00726224"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p>
        </w:tc>
      </w:tr>
      <w:tr w:rsidR="000E72AA" w:rsidRPr="00292951" w14:paraId="51E7D1CB" w14:textId="77777777" w:rsidTr="0011449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0FBC1966" w14:textId="78F21EE3" w:rsidR="000E72AA" w:rsidRPr="005468F9" w:rsidRDefault="00726224" w:rsidP="0011449E">
            <w:pPr>
              <w:pStyle w:val="TableRow"/>
              <w:rPr>
                <w:color w:val="FFFFFF" w:themeColor="background1"/>
                <w:lang w:eastAsia="en-GB"/>
              </w:rPr>
            </w:pPr>
            <w:r>
              <w:rPr>
                <w:color w:val="FFFFFF" w:themeColor="background1"/>
                <w:lang w:eastAsia="en-GB"/>
              </w:rPr>
              <w:t>L</w:t>
            </w:r>
            <w:r w:rsidR="000E72AA">
              <w:rPr>
                <w:color w:val="FFFFFF" w:themeColor="background1"/>
                <w:lang w:eastAsia="en-GB"/>
              </w:rPr>
              <w:t>and t</w:t>
            </w:r>
            <w:r w:rsidR="000E72AA" w:rsidRPr="005468F9">
              <w:rPr>
                <w:color w:val="FFFFFF" w:themeColor="background1"/>
                <w:lang w:eastAsia="en-GB"/>
              </w:rPr>
              <w:t>ax</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3E2704F1"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79F575CD"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Holiday</w:t>
            </w:r>
            <w:r w:rsidRPr="00292951">
              <w:rPr>
                <w:lang w:eastAsia="en-GB"/>
              </w:rPr>
              <w:t xml:space="preserve"> (7 years)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58B53B06" w14:textId="20450068" w:rsidR="000E72AA" w:rsidRPr="00292951" w:rsidRDefault="00726224"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Holiday (5 years)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3BA63144" w14:textId="75924F9F" w:rsidR="000E72AA" w:rsidRPr="00292951" w:rsidRDefault="00726224"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Holiday</w:t>
            </w:r>
            <w:r w:rsidR="000E72AA">
              <w:rPr>
                <w:lang w:eastAsia="en-GB"/>
              </w:rPr>
              <w:t xml:space="preserve"> </w:t>
            </w:r>
            <w:r>
              <w:rPr>
                <w:lang w:eastAsia="en-GB"/>
              </w:rPr>
              <w:t>(</w:t>
            </w:r>
            <w:r w:rsidR="000E72AA">
              <w:rPr>
                <w:lang w:eastAsia="en-GB"/>
              </w:rPr>
              <w:t>3 year</w:t>
            </w:r>
            <w:r>
              <w:rPr>
                <w:lang w:eastAsia="en-GB"/>
              </w:rPr>
              <w:t>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1B83BC99" w14:textId="6DBE0057" w:rsidR="000E72AA" w:rsidRPr="00292951" w:rsidRDefault="00924C42"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71BCE09B" w14:textId="43AA1C10"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019184"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 </w:t>
            </w:r>
          </w:p>
        </w:tc>
        <w:tc>
          <w:tcPr>
            <w:tcW w:w="1617" w:type="dxa"/>
            <w:tcBorders>
              <w:top w:val="nil"/>
              <w:left w:val="single" w:sz="4" w:space="0" w:color="FFFFFF" w:themeColor="background1"/>
              <w:bottom w:val="nil"/>
              <w:right w:val="nil"/>
            </w:tcBorders>
            <w:shd w:val="clear" w:color="auto" w:fill="DBE5F1" w:themeFill="accent1" w:themeFillTint="33"/>
          </w:tcPr>
          <w:p w14:paraId="353874DB"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p>
        </w:tc>
      </w:tr>
      <w:tr w:rsidR="000E72AA" w:rsidRPr="00292951" w14:paraId="76CEB8B1" w14:textId="77777777" w:rsidTr="0011449E">
        <w:trPr>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45684997" w14:textId="57822A20" w:rsidR="000E72AA" w:rsidRPr="005468F9" w:rsidRDefault="000E72AA" w:rsidP="0011449E">
            <w:pPr>
              <w:pStyle w:val="TableRow"/>
              <w:rPr>
                <w:color w:val="FFFFFF" w:themeColor="background1"/>
                <w:lang w:eastAsia="en-GB"/>
              </w:rPr>
            </w:pPr>
            <w:r w:rsidRPr="005468F9">
              <w:rPr>
                <w:color w:val="FFFFFF" w:themeColor="background1"/>
                <w:lang w:eastAsia="en-GB"/>
              </w:rPr>
              <w:t xml:space="preserve">Customs </w:t>
            </w:r>
            <w:r>
              <w:rPr>
                <w:color w:val="FFFFFF" w:themeColor="background1"/>
                <w:lang w:eastAsia="en-GB"/>
              </w:rPr>
              <w:t>d</w:t>
            </w:r>
            <w:r w:rsidRPr="005468F9">
              <w:rPr>
                <w:color w:val="FFFFFF" w:themeColor="background1"/>
                <w:lang w:eastAsia="en-GB"/>
              </w:rPr>
              <w:t>uties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4CDBEE76" w14:textId="77777777"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2C57FF15" w14:textId="52C5B545"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Exempt</w:t>
            </w:r>
            <w:r>
              <w:rPr>
                <w:lang w:eastAsia="en-GB"/>
              </w:rPr>
              <w:t>ion</w:t>
            </w:r>
            <w:r w:rsidRPr="00292951">
              <w:rPr>
                <w:lang w:eastAsia="en-GB"/>
              </w:rPr>
              <w:t xml:space="preserve"> for </w:t>
            </w:r>
            <w:r w:rsidR="006F2ADA">
              <w:rPr>
                <w:lang w:eastAsia="en-GB"/>
              </w:rPr>
              <w:t xml:space="preserve">imported </w:t>
            </w:r>
            <w:r w:rsidRPr="00292951">
              <w:rPr>
                <w:lang w:eastAsia="en-GB"/>
              </w:rPr>
              <w:t>machinery and equipment</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46E196C7" w14:textId="77777777"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57623B70" w14:textId="263D028C"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Exempt</w:t>
            </w:r>
            <w:r>
              <w:rPr>
                <w:lang w:eastAsia="en-GB"/>
              </w:rPr>
              <w:t>ion</w:t>
            </w:r>
            <w:r w:rsidRPr="00292951">
              <w:rPr>
                <w:lang w:eastAsia="en-GB"/>
              </w:rPr>
              <w:t xml:space="preserve"> for </w:t>
            </w:r>
            <w:r w:rsidR="00BF4FA6">
              <w:rPr>
                <w:lang w:eastAsia="en-GB"/>
              </w:rPr>
              <w:t>imported equipment and parts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60F32C30" w14:textId="0253A396" w:rsidR="000E72AA" w:rsidRPr="00292951" w:rsidRDefault="00C97DD7"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Exemption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6E8F2E26" w14:textId="27E6EBDC"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Exempt</w:t>
            </w:r>
            <w:r>
              <w:rPr>
                <w:lang w:eastAsia="en-GB"/>
              </w:rPr>
              <w:t>ion for export</w:t>
            </w:r>
            <w:r w:rsidRPr="00292951">
              <w:rPr>
                <w:lang w:eastAsia="en-GB"/>
              </w:rPr>
              <w:t>, 4% import/export duty with Georgia.</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EA4851" w14:textId="77777777"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 </w:t>
            </w:r>
          </w:p>
        </w:tc>
        <w:tc>
          <w:tcPr>
            <w:tcW w:w="1617" w:type="dxa"/>
            <w:tcBorders>
              <w:top w:val="nil"/>
              <w:left w:val="single" w:sz="4" w:space="0" w:color="FFFFFF" w:themeColor="background1"/>
              <w:bottom w:val="nil"/>
              <w:right w:val="nil"/>
            </w:tcBorders>
            <w:shd w:val="clear" w:color="auto" w:fill="DBE5F1" w:themeFill="accent1" w:themeFillTint="33"/>
          </w:tcPr>
          <w:p w14:paraId="07E4FD1B" w14:textId="77777777" w:rsidR="000E72AA" w:rsidRPr="00292951" w:rsidRDefault="000E72AA"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p>
        </w:tc>
      </w:tr>
      <w:tr w:rsidR="000E72AA" w:rsidRPr="00292951" w14:paraId="7DE377DE" w14:textId="77777777" w:rsidTr="001144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73904DDE" w14:textId="534A6085" w:rsidR="000E72AA" w:rsidRPr="005468F9" w:rsidRDefault="000E72AA" w:rsidP="0011449E">
            <w:pPr>
              <w:pStyle w:val="TableRow"/>
              <w:rPr>
                <w:color w:val="FFFFFF" w:themeColor="background1"/>
                <w:lang w:eastAsia="en-GB"/>
              </w:rPr>
            </w:pPr>
            <w:r>
              <w:rPr>
                <w:color w:val="FFFFFF" w:themeColor="background1"/>
                <w:lang w:eastAsia="en-GB"/>
              </w:rPr>
              <w:t>VAT on i</w:t>
            </w:r>
            <w:r w:rsidRPr="005468F9">
              <w:rPr>
                <w:color w:val="FFFFFF" w:themeColor="background1"/>
                <w:lang w:eastAsia="en-GB"/>
              </w:rPr>
              <w:t>mports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02082953"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0E260961" w14:textId="69D6737D"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r w:rsidRPr="00292951">
              <w:rPr>
                <w:lang w:eastAsia="en-GB"/>
              </w:rPr>
              <w:t xml:space="preserve"> for </w:t>
            </w:r>
            <w:r w:rsidR="006F2ADA">
              <w:rPr>
                <w:lang w:eastAsia="en-GB"/>
              </w:rPr>
              <w:t>i</w:t>
            </w:r>
            <w:r w:rsidRPr="00292951">
              <w:rPr>
                <w:lang w:eastAsia="en-GB"/>
              </w:rPr>
              <w:t>mport of machinery and equipment</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644298DE"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69EF6A31" w14:textId="4555653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 xml:space="preserve">  Exempt</w:t>
            </w:r>
            <w:r>
              <w:rPr>
                <w:lang w:eastAsia="en-GB"/>
              </w:rPr>
              <w:t>ion</w:t>
            </w:r>
            <w:r w:rsidRPr="00292951">
              <w:rPr>
                <w:lang w:eastAsia="en-GB"/>
              </w:rPr>
              <w:t xml:space="preserve"> f</w:t>
            </w:r>
            <w:r w:rsidR="00C97DD7">
              <w:rPr>
                <w:lang w:eastAsia="en-GB"/>
              </w:rPr>
              <w:t>or certain high-tech goods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697B91A6" w14:textId="0DA73F8F" w:rsidR="000E72AA" w:rsidRPr="00292951" w:rsidRDefault="00C97DD7"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Exemption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20C9C912" w14:textId="6BF32266"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78338742"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Exempt</w:t>
            </w:r>
            <w:r>
              <w:rPr>
                <w:lang w:eastAsia="en-GB"/>
              </w:rPr>
              <w:t>ion</w:t>
            </w:r>
          </w:p>
        </w:tc>
        <w:tc>
          <w:tcPr>
            <w:tcW w:w="1617" w:type="dxa"/>
            <w:tcBorders>
              <w:top w:val="nil"/>
              <w:left w:val="single" w:sz="4" w:space="0" w:color="FFFFFF" w:themeColor="background1"/>
              <w:bottom w:val="nil"/>
              <w:right w:val="nil"/>
            </w:tcBorders>
            <w:shd w:val="clear" w:color="auto" w:fill="DBE5F1" w:themeFill="accent1" w:themeFillTint="33"/>
          </w:tcPr>
          <w:p w14:paraId="6BD8F95E" w14:textId="77777777" w:rsidR="000E72AA" w:rsidRPr="00292951" w:rsidRDefault="000E72AA"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p>
        </w:tc>
      </w:tr>
      <w:tr w:rsidR="000E72AA" w:rsidRPr="00292951" w14:paraId="70B2D5AC" w14:textId="77777777" w:rsidTr="0011449E">
        <w:trPr>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4" w:space="0" w:color="FFFFFF" w:themeColor="background1"/>
              <w:right w:val="single" w:sz="4" w:space="0" w:color="FFFFFF" w:themeColor="background1"/>
            </w:tcBorders>
            <w:shd w:val="clear" w:color="auto" w:fill="1F497D" w:themeFill="text2"/>
            <w:hideMark/>
          </w:tcPr>
          <w:p w14:paraId="7BC02D6C" w14:textId="595AF54E" w:rsidR="00184862" w:rsidRPr="005468F9" w:rsidRDefault="00BE1FA2" w:rsidP="0011449E">
            <w:pPr>
              <w:pStyle w:val="TableRow"/>
              <w:rPr>
                <w:color w:val="FFFFFF" w:themeColor="background1"/>
                <w:lang w:eastAsia="en-GB"/>
              </w:rPr>
            </w:pPr>
            <w:r>
              <w:rPr>
                <w:color w:val="FFFFFF" w:themeColor="background1"/>
                <w:lang w:eastAsia="en-GB"/>
              </w:rPr>
              <w:t>Dividend</w:t>
            </w:r>
            <w:r w:rsidR="00184862" w:rsidRPr="005468F9">
              <w:rPr>
                <w:color w:val="FFFFFF" w:themeColor="background1"/>
                <w:lang w:eastAsia="en-GB"/>
              </w:rPr>
              <w:t xml:space="preserve"> taxes</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9B945A" w14:textId="77777777" w:rsidR="00184862" w:rsidRPr="00292951"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 </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970DF2" w14:textId="77777777" w:rsidR="00184862" w:rsidRPr="00292951"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 </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2FEE12B" w14:textId="77777777" w:rsidR="00184862" w:rsidRPr="00EC3C1C" w:rsidRDefault="00184862" w:rsidP="0011449E">
            <w:pPr>
              <w:pStyle w:val="TableColumn"/>
              <w:cnfStyle w:val="000000000000" w:firstRow="0" w:lastRow="0" w:firstColumn="0" w:lastColumn="0" w:oddVBand="0" w:evenVBand="0" w:oddHBand="0" w:evenHBand="0" w:firstRowFirstColumn="0" w:firstRowLastColumn="0" w:lastRowFirstColumn="0" w:lastRowLastColumn="0"/>
            </w:pPr>
            <w:r w:rsidRPr="00292951">
              <w:rPr>
                <w:lang w:eastAsia="en-GB"/>
              </w:rPr>
              <w:t> </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hideMark/>
          </w:tcPr>
          <w:p w14:paraId="671109CF" w14:textId="3DB81390" w:rsidR="00184862" w:rsidRPr="00292951" w:rsidRDefault="00BE1FA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Reduced rate (5%)</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208E71DE" w14:textId="7FF2E102" w:rsidR="00184862" w:rsidRPr="00292951" w:rsidRDefault="00BE1FA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Pr>
                <w:lang w:eastAsia="en-GB"/>
              </w:rPr>
              <w:t>Holiday (5 years)</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22637" w14:textId="1D7B5C3E" w:rsidR="00184862" w:rsidRPr="00292951"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 </w:t>
            </w:r>
          </w:p>
        </w:tc>
        <w:tc>
          <w:tcPr>
            <w:tcW w:w="1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70C18E" w14:textId="77777777" w:rsidR="00184862" w:rsidRPr="00292951"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r w:rsidRPr="00292951">
              <w:rPr>
                <w:lang w:eastAsia="en-GB"/>
              </w:rPr>
              <w:t> </w:t>
            </w:r>
          </w:p>
        </w:tc>
        <w:tc>
          <w:tcPr>
            <w:tcW w:w="1617" w:type="dxa"/>
            <w:tcBorders>
              <w:top w:val="single" w:sz="4" w:space="0" w:color="FFFFFF" w:themeColor="background1"/>
              <w:left w:val="single" w:sz="4" w:space="0" w:color="FFFFFF" w:themeColor="background1"/>
              <w:bottom w:val="single" w:sz="4" w:space="0" w:color="FFFFFF" w:themeColor="background1"/>
              <w:right w:val="nil"/>
            </w:tcBorders>
          </w:tcPr>
          <w:p w14:paraId="64BE398D" w14:textId="77777777" w:rsidR="00184862" w:rsidRPr="00292951" w:rsidRDefault="00184862" w:rsidP="0011449E">
            <w:pPr>
              <w:pStyle w:val="TableColumn"/>
              <w:cnfStyle w:val="000000000000" w:firstRow="0" w:lastRow="0" w:firstColumn="0" w:lastColumn="0" w:oddVBand="0" w:evenVBand="0" w:oddHBand="0" w:evenHBand="0" w:firstRowFirstColumn="0" w:firstRowLastColumn="0" w:lastRowFirstColumn="0" w:lastRowLastColumn="0"/>
              <w:rPr>
                <w:lang w:eastAsia="en-GB"/>
              </w:rPr>
            </w:pPr>
          </w:p>
        </w:tc>
      </w:tr>
      <w:tr w:rsidR="000E72AA" w:rsidRPr="00292951" w14:paraId="523E7A75" w14:textId="77777777" w:rsidTr="0011449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FFFFFF" w:themeColor="background1"/>
              <w:left w:val="nil"/>
              <w:bottom w:val="single" w:sz="12" w:space="0" w:color="auto"/>
              <w:right w:val="single" w:sz="4" w:space="0" w:color="FFFFFF" w:themeColor="background1"/>
            </w:tcBorders>
            <w:shd w:val="clear" w:color="auto" w:fill="1F497D" w:themeFill="text2"/>
            <w:hideMark/>
          </w:tcPr>
          <w:p w14:paraId="17BC2691" w14:textId="4321C126" w:rsidR="00184862" w:rsidRPr="005468F9" w:rsidRDefault="000E72AA" w:rsidP="0011449E">
            <w:pPr>
              <w:pStyle w:val="TableRow"/>
              <w:rPr>
                <w:color w:val="FFFFFF" w:themeColor="background1"/>
                <w:lang w:eastAsia="en-GB"/>
              </w:rPr>
            </w:pPr>
            <w:r>
              <w:rPr>
                <w:color w:val="FFFFFF" w:themeColor="background1"/>
                <w:lang w:eastAsia="en-GB"/>
              </w:rPr>
              <w:t>Investor r</w:t>
            </w:r>
            <w:r w:rsidR="00184862" w:rsidRPr="005468F9">
              <w:rPr>
                <w:color w:val="FFFFFF" w:themeColor="background1"/>
                <w:lang w:eastAsia="en-GB"/>
              </w:rPr>
              <w:t>equirements</w:t>
            </w:r>
          </w:p>
        </w:tc>
        <w:tc>
          <w:tcPr>
            <w:tcW w:w="1616"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hideMark/>
          </w:tcPr>
          <w:p w14:paraId="28203E8D" w14:textId="6F9CC865" w:rsidR="00184862" w:rsidRPr="00292951" w:rsidRDefault="00184862" w:rsidP="001600DD">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R</w:t>
            </w:r>
            <w:r w:rsidRPr="00D9118F">
              <w:rPr>
                <w:lang w:eastAsia="en-GB"/>
              </w:rPr>
              <w:t>esident permission</w:t>
            </w:r>
            <w:r w:rsidR="00EC3C1C">
              <w:rPr>
                <w:lang w:eastAsia="en-GB"/>
              </w:rPr>
              <w:t xml:space="preserve"> </w:t>
            </w:r>
            <w:r w:rsidR="00FD6A4E">
              <w:rPr>
                <w:lang w:eastAsia="en-GB"/>
              </w:rPr>
              <w:t xml:space="preserve">authorised </w:t>
            </w:r>
            <w:r>
              <w:rPr>
                <w:lang w:eastAsia="en-GB"/>
              </w:rPr>
              <w:t>by government</w:t>
            </w:r>
          </w:p>
        </w:tc>
        <w:tc>
          <w:tcPr>
            <w:tcW w:w="1617"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hideMark/>
          </w:tcPr>
          <w:p w14:paraId="780C71B3" w14:textId="57432BDE" w:rsidR="00184862" w:rsidRPr="00292951" w:rsidRDefault="00EC3C1C"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Holder of</w:t>
            </w:r>
            <w:r w:rsidR="00184862">
              <w:t xml:space="preserve"> </w:t>
            </w:r>
            <w:r w:rsidR="00184862" w:rsidRPr="00D9118F">
              <w:rPr>
                <w:lang w:eastAsia="en-GB"/>
              </w:rPr>
              <w:t xml:space="preserve">Investment Promotion </w:t>
            </w:r>
            <w:r w:rsidR="00184862">
              <w:rPr>
                <w:lang w:eastAsia="en-GB"/>
              </w:rPr>
              <w:t>Certificate</w:t>
            </w:r>
          </w:p>
        </w:tc>
        <w:tc>
          <w:tcPr>
            <w:tcW w:w="1616"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hideMark/>
          </w:tcPr>
          <w:p w14:paraId="1072CF00" w14:textId="4B304E6A" w:rsidR="00184862" w:rsidRPr="00292951" w:rsidRDefault="00184862"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Min</w:t>
            </w:r>
            <w:r w:rsidR="00EC3C1C">
              <w:rPr>
                <w:lang w:eastAsia="en-GB"/>
              </w:rPr>
              <w:t>imum</w:t>
            </w:r>
            <w:r w:rsidRPr="00292951">
              <w:rPr>
                <w:lang w:eastAsia="en-GB"/>
              </w:rPr>
              <w:t xml:space="preserve"> investment of </w:t>
            </w:r>
            <w:r w:rsidR="00EC3C1C">
              <w:rPr>
                <w:lang w:eastAsia="en-GB"/>
              </w:rPr>
              <w:t>USD</w:t>
            </w:r>
            <w:r w:rsidRPr="00292951">
              <w:rPr>
                <w:lang w:eastAsia="en-GB"/>
              </w:rPr>
              <w:t xml:space="preserve"> 0.5 million </w:t>
            </w:r>
            <w:r w:rsidR="00EC3C1C">
              <w:rPr>
                <w:lang w:eastAsia="en-GB"/>
              </w:rPr>
              <w:t>(</w:t>
            </w:r>
            <w:r w:rsidRPr="00292951">
              <w:rPr>
                <w:lang w:eastAsia="en-GB"/>
              </w:rPr>
              <w:t>within first 3 years</w:t>
            </w:r>
            <w:r w:rsidR="00EC3C1C">
              <w:rPr>
                <w:lang w:eastAsia="en-GB"/>
              </w:rPr>
              <w:t>);</w:t>
            </w:r>
            <w:r>
              <w:rPr>
                <w:lang w:eastAsia="en-GB"/>
              </w:rPr>
              <w:t xml:space="preserve"> </w:t>
            </w:r>
            <w:r w:rsidRPr="00292951">
              <w:rPr>
                <w:lang w:eastAsia="en-GB"/>
              </w:rPr>
              <w:t>import-substitut</w:t>
            </w:r>
            <w:r w:rsidR="00EC3C1C">
              <w:rPr>
                <w:lang w:eastAsia="en-GB"/>
              </w:rPr>
              <w:t xml:space="preserve">ing </w:t>
            </w:r>
            <w:r w:rsidRPr="00292951">
              <w:rPr>
                <w:lang w:eastAsia="en-GB"/>
              </w:rPr>
              <w:t>or export</w:t>
            </w:r>
            <w:r w:rsidR="00EC3C1C">
              <w:rPr>
                <w:lang w:eastAsia="en-GB"/>
              </w:rPr>
              <w:t xml:space="preserve"> goods</w:t>
            </w:r>
          </w:p>
        </w:tc>
        <w:tc>
          <w:tcPr>
            <w:tcW w:w="1617"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hideMark/>
          </w:tcPr>
          <w:p w14:paraId="1F7BE6ED" w14:textId="52843374" w:rsidR="00184862" w:rsidRPr="00292951" w:rsidRDefault="00184862"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sidRPr="00292951">
              <w:rPr>
                <w:lang w:eastAsia="en-GB"/>
              </w:rPr>
              <w:t>Majority</w:t>
            </w:r>
            <w:r w:rsidR="005A6AB3">
              <w:rPr>
                <w:lang w:eastAsia="en-GB"/>
              </w:rPr>
              <w:t xml:space="preserve"> domestic-owned;</w:t>
            </w:r>
            <w:r w:rsidR="00B93660">
              <w:rPr>
                <w:lang w:eastAsia="en-GB"/>
              </w:rPr>
              <w:t xml:space="preserve"> </w:t>
            </w:r>
            <w:r>
              <w:rPr>
                <w:lang w:eastAsia="en-GB"/>
              </w:rPr>
              <w:t>IT</w:t>
            </w:r>
            <w:r w:rsidRPr="00292951">
              <w:rPr>
                <w:lang w:eastAsia="en-GB"/>
              </w:rPr>
              <w:t xml:space="preserve"> </w:t>
            </w:r>
            <w:r w:rsidR="00B93660">
              <w:rPr>
                <w:lang w:eastAsia="en-GB"/>
              </w:rPr>
              <w:t>services and software development</w:t>
            </w:r>
          </w:p>
        </w:tc>
        <w:tc>
          <w:tcPr>
            <w:tcW w:w="1616"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tcPr>
          <w:p w14:paraId="5AC93564" w14:textId="21DDE47D" w:rsidR="00184862" w:rsidRPr="00292951" w:rsidRDefault="005A6AB3"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Min</w:t>
            </w:r>
            <w:r w:rsidR="00EC3C1C">
              <w:rPr>
                <w:lang w:eastAsia="en-GB"/>
              </w:rPr>
              <w:t>imum</w:t>
            </w:r>
            <w:r w:rsidRPr="005A6AB3">
              <w:rPr>
                <w:lang w:eastAsia="en-GB"/>
              </w:rPr>
              <w:t xml:space="preserve"> investment  </w:t>
            </w:r>
            <w:r>
              <w:rPr>
                <w:lang w:eastAsia="en-GB"/>
              </w:rPr>
              <w:t>of</w:t>
            </w:r>
            <w:r w:rsidRPr="005A6AB3">
              <w:rPr>
                <w:lang w:eastAsia="en-GB"/>
              </w:rPr>
              <w:t xml:space="preserve"> </w:t>
            </w:r>
            <w:r w:rsidR="00EC3C1C">
              <w:rPr>
                <w:lang w:eastAsia="en-GB"/>
              </w:rPr>
              <w:t>USD 5</w:t>
            </w:r>
            <w:r w:rsidRPr="005A6AB3">
              <w:rPr>
                <w:lang w:eastAsia="en-GB"/>
              </w:rPr>
              <w:t xml:space="preserve"> million </w:t>
            </w:r>
            <w:r w:rsidR="00EC3C1C">
              <w:rPr>
                <w:lang w:eastAsia="en-GB"/>
              </w:rPr>
              <w:t>or 0.5 million for R&amp;D activity (within first</w:t>
            </w:r>
            <w:r w:rsidR="00EC3C1C" w:rsidRPr="005A6AB3">
              <w:rPr>
                <w:lang w:eastAsia="en-GB"/>
              </w:rPr>
              <w:t xml:space="preserve"> 3 years)</w:t>
            </w:r>
          </w:p>
        </w:tc>
        <w:tc>
          <w:tcPr>
            <w:tcW w:w="1617" w:type="dxa"/>
            <w:tcBorders>
              <w:top w:val="single" w:sz="4" w:space="0" w:color="FFFFFF" w:themeColor="background1"/>
              <w:left w:val="single" w:sz="4" w:space="0" w:color="FFFFFF" w:themeColor="background1"/>
              <w:bottom w:val="single" w:sz="12" w:space="0" w:color="auto"/>
              <w:right w:val="single" w:sz="4" w:space="0" w:color="FFFFFF" w:themeColor="background1"/>
            </w:tcBorders>
            <w:hideMark/>
          </w:tcPr>
          <w:p w14:paraId="6F56E737" w14:textId="13B32618" w:rsidR="00184862" w:rsidRPr="00292951" w:rsidRDefault="00184862"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p>
        </w:tc>
        <w:tc>
          <w:tcPr>
            <w:tcW w:w="1616"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DBE5F1" w:themeFill="accent1" w:themeFillTint="33"/>
            <w:hideMark/>
          </w:tcPr>
          <w:p w14:paraId="73F11001" w14:textId="2A18AE7A" w:rsidR="00184862" w:rsidRPr="00292951" w:rsidRDefault="00EC3C1C"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Min</w:t>
            </w:r>
            <w:r w:rsidR="00646465">
              <w:rPr>
                <w:lang w:eastAsia="en-GB"/>
              </w:rPr>
              <w:t xml:space="preserve">imum investment of </w:t>
            </w:r>
            <w:r w:rsidR="00184862" w:rsidRPr="00292951">
              <w:rPr>
                <w:lang w:eastAsia="en-GB"/>
              </w:rPr>
              <w:t>EUR 1 million to receive CIT holiday</w:t>
            </w:r>
          </w:p>
        </w:tc>
        <w:tc>
          <w:tcPr>
            <w:tcW w:w="1617" w:type="dxa"/>
            <w:tcBorders>
              <w:top w:val="single" w:sz="4" w:space="0" w:color="FFFFFF" w:themeColor="background1"/>
              <w:left w:val="single" w:sz="4" w:space="0" w:color="FFFFFF" w:themeColor="background1"/>
              <w:bottom w:val="single" w:sz="12" w:space="0" w:color="auto"/>
              <w:right w:val="nil"/>
            </w:tcBorders>
            <w:shd w:val="clear" w:color="auto" w:fill="DBE5F1" w:themeFill="accent1" w:themeFillTint="33"/>
          </w:tcPr>
          <w:p w14:paraId="01FFED47" w14:textId="2462E4E4" w:rsidR="00184862" w:rsidRPr="00292951" w:rsidRDefault="00184862" w:rsidP="0011449E">
            <w:pPr>
              <w:pStyle w:val="TableColumn"/>
              <w:cnfStyle w:val="000000100000" w:firstRow="0" w:lastRow="0" w:firstColumn="0" w:lastColumn="0" w:oddVBand="0" w:evenVBand="0" w:oddHBand="1" w:evenHBand="0" w:firstRowFirstColumn="0" w:firstRowLastColumn="0" w:lastRowFirstColumn="0" w:lastRowLastColumn="0"/>
              <w:rPr>
                <w:lang w:eastAsia="en-GB"/>
              </w:rPr>
            </w:pPr>
            <w:r>
              <w:rPr>
                <w:lang w:eastAsia="en-GB"/>
              </w:rPr>
              <w:t>70% revenues</w:t>
            </w:r>
            <w:r w:rsidR="00646465">
              <w:rPr>
                <w:lang w:eastAsia="en-GB"/>
              </w:rPr>
              <w:t xml:space="preserve"> from IT activities</w:t>
            </w:r>
          </w:p>
        </w:tc>
      </w:tr>
    </w:tbl>
    <w:p w14:paraId="41ECC727" w14:textId="77777777" w:rsidR="00C83503" w:rsidRPr="00AD6BCB" w:rsidRDefault="00C83503" w:rsidP="00C83503">
      <w:pPr>
        <w:pStyle w:val="Sourcenotes"/>
        <w:rPr>
          <w:i/>
        </w:rPr>
      </w:pPr>
      <w:r w:rsidRPr="00AD6BCB">
        <w:rPr>
          <w:i/>
        </w:rPr>
        <w:t>Note: Holiday</w:t>
      </w:r>
      <w:r w:rsidRPr="00AD6BCB">
        <w:t xml:space="preserve"> = total tax exemption over defined period; </w:t>
      </w:r>
      <w:r w:rsidRPr="00AD6BCB">
        <w:rPr>
          <w:i/>
        </w:rPr>
        <w:t>reduction</w:t>
      </w:r>
      <w:r w:rsidRPr="00AD6BCB">
        <w:t xml:space="preserve"> = tax rate reduction over defined period; </w:t>
      </w:r>
      <w:r w:rsidRPr="00AD6BCB">
        <w:rPr>
          <w:i/>
        </w:rPr>
        <w:t>exemption</w:t>
      </w:r>
      <w:r w:rsidRPr="00AD6BCB">
        <w:t xml:space="preserve"> = total tax exemption that is permanent or subject to a sunset clause; </w:t>
      </w:r>
      <w:r w:rsidRPr="005468F9">
        <w:rPr>
          <w:i/>
        </w:rPr>
        <w:t>deduction</w:t>
      </w:r>
      <w:r w:rsidRPr="00AD6BCB">
        <w:t xml:space="preserve"> = deductions of certain expenses from taxable income; </w:t>
      </w:r>
      <w:r>
        <w:t>customs duties</w:t>
      </w:r>
      <w:r w:rsidRPr="00AD6BCB">
        <w:t xml:space="preserve"> = import du</w:t>
      </w:r>
      <w:r>
        <w:t xml:space="preserve">ties or export taxes; </w:t>
      </w:r>
      <w:r w:rsidRPr="005468F9">
        <w:rPr>
          <w:i/>
        </w:rPr>
        <w:t>Withholding taxes</w:t>
      </w:r>
      <w:r>
        <w:t xml:space="preserve"> = tax </w:t>
      </w:r>
      <w:r w:rsidRPr="005468F9">
        <w:t xml:space="preserve">deducted at source on interest or dividends paid, especially </w:t>
      </w:r>
      <w:r>
        <w:t>to non-residents. Requirements for entering the zone are only included when clear criteria is defined.</w:t>
      </w:r>
    </w:p>
    <w:p w14:paraId="33A0FC2F" w14:textId="3222FA89" w:rsidR="00C83503" w:rsidRPr="00001B30" w:rsidRDefault="00C83503" w:rsidP="00C83503">
      <w:pPr>
        <w:pStyle w:val="Sourcenotes"/>
        <w:sectPr w:rsidR="00C83503" w:rsidRPr="00001B30" w:rsidSect="00BE03AE">
          <w:pgSz w:w="16838" w:h="11906" w:orient="landscape"/>
          <w:pgMar w:top="1440" w:right="1440" w:bottom="1440" w:left="1440" w:header="708" w:footer="708" w:gutter="0"/>
          <w:cols w:space="708"/>
          <w:docGrid w:linePitch="360"/>
        </w:sectPr>
      </w:pPr>
    </w:p>
    <w:p w14:paraId="44F4C32D" w14:textId="6ABD36EC" w:rsidR="0094373F" w:rsidRDefault="0094373F" w:rsidP="0094373F">
      <w:pPr>
        <w:pStyle w:val="Heading1"/>
        <w:rPr>
          <w:rFonts w:hint="eastAsia"/>
        </w:rPr>
      </w:pPr>
      <w:bookmarkStart w:id="134" w:name="_Toc31228358"/>
      <w:bookmarkStart w:id="135" w:name="_Toc31983294"/>
      <w:bookmarkStart w:id="136" w:name="_Toc33443305"/>
      <w:r>
        <w:lastRenderedPageBreak/>
        <w:t>Promoting responsible business conduct</w:t>
      </w:r>
      <w:bookmarkEnd w:id="134"/>
      <w:bookmarkEnd w:id="135"/>
      <w:bookmarkEnd w:id="136"/>
    </w:p>
    <w:p w14:paraId="4889D6C4" w14:textId="043BBF75" w:rsidR="00F555E3" w:rsidRDefault="00F555E3" w:rsidP="00F555E3">
      <w:pPr>
        <w:pStyle w:val="Para0"/>
      </w:pPr>
      <w:r w:rsidRPr="003F7301">
        <w:t xml:space="preserve">Promoting and enabling </w:t>
      </w:r>
      <w:r>
        <w:t>r</w:t>
      </w:r>
      <w:r w:rsidRPr="003F7301">
        <w:t xml:space="preserve">esponsible </w:t>
      </w:r>
      <w:r>
        <w:t>b</w:t>
      </w:r>
      <w:r w:rsidRPr="003F7301">
        <w:t xml:space="preserve">usiness </w:t>
      </w:r>
      <w:r>
        <w:t>c</w:t>
      </w:r>
      <w:r w:rsidRPr="003F7301">
        <w:t>onduct (RBC) is of central interest to policy makers wishing to ensure that business activity contributes to broader value creation and sustainable development. This chapter offers an overview of the main developments in the area</w:t>
      </w:r>
      <w:r>
        <w:t>s</w:t>
      </w:r>
      <w:r w:rsidRPr="003F7301">
        <w:t xml:space="preserve"> of RBC </w:t>
      </w:r>
      <w:r>
        <w:t xml:space="preserve">which are most relevant to </w:t>
      </w:r>
      <w:r w:rsidRPr="003F7301">
        <w:t xml:space="preserve">Armenia, Azerbaijan, Belarus, Georgia, Moldova and Ukraine, and key challenges these countries face. </w:t>
      </w:r>
      <w:r>
        <w:t>It</w:t>
      </w:r>
      <w:r w:rsidRPr="003F7301">
        <w:t xml:space="preserve"> </w:t>
      </w:r>
      <w:r>
        <w:t>considers the</w:t>
      </w:r>
      <w:r w:rsidRPr="003F7301">
        <w:t xml:space="preserve"> processes, strategies, laws and regu</w:t>
      </w:r>
      <w:r>
        <w:t>lations aimed at bolstering RBC, while paying d</w:t>
      </w:r>
      <w:r w:rsidRPr="003F7301">
        <w:t xml:space="preserve">ue attention </w:t>
      </w:r>
      <w:r>
        <w:t>to</w:t>
      </w:r>
      <w:r w:rsidRPr="003F7301">
        <w:t xml:space="preserve"> the general framework for promoting and enabling </w:t>
      </w:r>
      <w:r>
        <w:t>RBC</w:t>
      </w:r>
      <w:r w:rsidRPr="003F7301">
        <w:t>.</w:t>
      </w:r>
    </w:p>
    <w:p w14:paraId="6B00F4B8" w14:textId="77777777" w:rsidR="00F555E3" w:rsidRDefault="00F555E3" w:rsidP="00F555E3">
      <w:pPr>
        <w:pStyle w:val="Heading2"/>
        <w:rPr>
          <w:rFonts w:hint="eastAsia"/>
        </w:rPr>
      </w:pPr>
      <w:bookmarkStart w:id="137" w:name="_Toc31983295"/>
      <w:bookmarkStart w:id="138" w:name="_Toc31991414"/>
      <w:bookmarkStart w:id="139" w:name="_Toc33443306"/>
      <w:r>
        <w:t>Main findings</w:t>
      </w:r>
      <w:bookmarkEnd w:id="137"/>
      <w:bookmarkEnd w:id="138"/>
      <w:bookmarkEnd w:id="139"/>
    </w:p>
    <w:p w14:paraId="1EB916AE" w14:textId="77777777" w:rsidR="00F555E3" w:rsidRDefault="00F555E3" w:rsidP="00F555E3">
      <w:pPr>
        <w:pStyle w:val="Para0"/>
      </w:pPr>
      <w:r>
        <w:t xml:space="preserve">EaP countries have all made steps to establish and implement a regulatory and institutional framework that protects the public interest and underpins RBC, although some countries have done so more comprehensively than others. More efforts are needed in all countries to strengthen this framework and to ensure implementation and enforcement of relevant laws and commitments. Awareness of RBC principles and standards is not yet widespread, although notable progress can be seen in Georgia and Ukraine, where thanks to initiatives by government and civil society, attention to RBC is growing. Ukraine’s adherence to the OECD </w:t>
      </w:r>
      <w:r>
        <w:rPr>
          <w:i/>
          <w:iCs/>
        </w:rPr>
        <w:t>Declaration on International Investment and Multinational Enterprises,</w:t>
      </w:r>
      <w:r>
        <w:t xml:space="preserve"> the implementation of the EU Association and Partnership Agreements with Armenia, Georgia, Moldova and Ukraine, as well as negotiations over future agreements or priorities with Azerbaijan and Belarus, provide significant opportunities to consolidate existing efforts and further promote RBC principles and standards, both within the government and with businesses and the wider public.</w:t>
      </w:r>
    </w:p>
    <w:p w14:paraId="3DA7D0FA" w14:textId="77777777" w:rsidR="00F555E3" w:rsidRDefault="00F555E3" w:rsidP="00F555E3">
      <w:pPr>
        <w:pStyle w:val="Para0"/>
      </w:pPr>
      <w:r w:rsidRPr="00EA3A95">
        <w:t>Governments should not only set expectations on RBC for business enterprises; they have a duty to protect the public interest and a role in providing an enabling framework for RBC. In this role, they can lead by example through their own commercial activities. Public procurement and the activities of state-owned enterprises (SOEs) play a significant role in the economies of EaP countries and can serve as levers to foster RBC. Governments in the region have yet to communicate, in a clear and transparent manner, the RBC policies they apply to public procurement and in the corporate governance of SOEs.</w:t>
      </w:r>
    </w:p>
    <w:p w14:paraId="6A08D066" w14:textId="77777777" w:rsidR="00F555E3" w:rsidRDefault="00F555E3" w:rsidP="00F555E3">
      <w:pPr>
        <w:pStyle w:val="Para0"/>
        <w:rPr>
          <w:rFonts w:eastAsia="SimSun"/>
          <w:color w:val="000000" w:themeColor="text1"/>
        </w:rPr>
      </w:pPr>
      <w:r>
        <w:rPr>
          <w:color w:val="000000" w:themeColor="text1"/>
        </w:rPr>
        <w:t xml:space="preserve">Countries in the region face a number of challenges in implementing RBC commitments. Weaknesses in the judicial system persist in EaP countries and pose a serious impediment to enforcement of laws and regulations that underpin RBC. </w:t>
      </w:r>
      <w:r w:rsidRPr="00115748">
        <w:t xml:space="preserve">NGOs in </w:t>
      </w:r>
      <w:r>
        <w:t>the region</w:t>
      </w:r>
      <w:r w:rsidRPr="00115748">
        <w:t xml:space="preserve"> </w:t>
      </w:r>
      <w:r>
        <w:t>are concerned</w:t>
      </w:r>
      <w:r w:rsidRPr="00115748">
        <w:t xml:space="preserve"> over the impacts of extractive</w:t>
      </w:r>
      <w:r>
        <w:t>, chemical</w:t>
      </w:r>
      <w:r w:rsidRPr="00115748">
        <w:t xml:space="preserve"> and agri</w:t>
      </w:r>
      <w:r>
        <w:t xml:space="preserve">cultural operations on </w:t>
      </w:r>
      <w:r w:rsidRPr="00115748">
        <w:t>health</w:t>
      </w:r>
      <w:r>
        <w:t xml:space="preserve"> (of workers and communities), occupational safety, and </w:t>
      </w:r>
      <w:r w:rsidRPr="00100976">
        <w:t xml:space="preserve">environmental degradation. </w:t>
      </w:r>
      <w:r w:rsidRPr="00100976">
        <w:rPr>
          <w:color w:val="000000" w:themeColor="text1"/>
          <w:spacing w:val="-4"/>
          <w:shd w:val="clear" w:color="auto" w:fill="FFFFFF"/>
        </w:rPr>
        <w:t>Trade unions have reported frequent barriers to colle</w:t>
      </w:r>
      <w:r w:rsidRPr="00100976">
        <w:t>ctive bargaining and discrimination against unionised workers</w:t>
      </w:r>
      <w:r w:rsidRPr="00100976">
        <w:rPr>
          <w:shd w:val="clear" w:color="auto" w:fill="FFFFFF"/>
        </w:rPr>
        <w:t xml:space="preserve">. </w:t>
      </w:r>
      <w:r w:rsidRPr="00100976">
        <w:t>The significant gender pay gap and low representation of women in the market and in management positions have also been noted</w:t>
      </w:r>
      <w:r w:rsidRPr="00115748">
        <w:t xml:space="preserve"> as issues of concern in </w:t>
      </w:r>
      <w:r>
        <w:t xml:space="preserve">all </w:t>
      </w:r>
      <w:r w:rsidRPr="00115748">
        <w:t>countries</w:t>
      </w:r>
      <w:r>
        <w:t>, although s</w:t>
      </w:r>
      <w:r w:rsidRPr="00115748">
        <w:t xml:space="preserve">ome progress has been made in </w:t>
      </w:r>
      <w:r>
        <w:t xml:space="preserve">Georgia and </w:t>
      </w:r>
      <w:r w:rsidRPr="00115748">
        <w:t>Moldova.</w:t>
      </w:r>
      <w:r>
        <w:t xml:space="preserve"> While steps </w:t>
      </w:r>
      <w:r w:rsidRPr="00115748">
        <w:t xml:space="preserve">have been taken to </w:t>
      </w:r>
      <w:r>
        <w:t>address</w:t>
      </w:r>
      <w:r w:rsidRPr="00115748">
        <w:t xml:space="preserve"> the </w:t>
      </w:r>
      <w:r>
        <w:t>shortcomings</w:t>
      </w:r>
      <w:r w:rsidRPr="00115748">
        <w:t xml:space="preserve"> of the </w:t>
      </w:r>
      <w:r>
        <w:t xml:space="preserve">environmental impact assessments and improve </w:t>
      </w:r>
      <w:r w:rsidRPr="00085CD2">
        <w:rPr>
          <w:iCs/>
        </w:rPr>
        <w:t xml:space="preserve">public access to </w:t>
      </w:r>
      <w:r>
        <w:t xml:space="preserve">the </w:t>
      </w:r>
      <w:r>
        <w:rPr>
          <w:iCs/>
        </w:rPr>
        <w:t>assessments</w:t>
      </w:r>
      <w:r>
        <w:t>, there remains scope for progress</w:t>
      </w:r>
      <w:r w:rsidRPr="00115748">
        <w:t>.</w:t>
      </w:r>
      <w:r>
        <w:t xml:space="preserve"> Despite noticeable efforts in the fight against corruption, c</w:t>
      </w:r>
      <w:r w:rsidRPr="00115748">
        <w:t xml:space="preserve">orruption prevention in the private sector </w:t>
      </w:r>
      <w:r>
        <w:lastRenderedPageBreak/>
        <w:t>remains</w:t>
      </w:r>
      <w:r w:rsidRPr="00115748">
        <w:t xml:space="preserve"> </w:t>
      </w:r>
      <w:r>
        <w:rPr>
          <w:rFonts w:eastAsia="SimSun"/>
          <w:color w:val="000000" w:themeColor="text1"/>
        </w:rPr>
        <w:t>low</w:t>
      </w:r>
      <w:r w:rsidRPr="00115748">
        <w:rPr>
          <w:rFonts w:eastAsia="SimSun"/>
          <w:color w:val="000000" w:themeColor="text1"/>
        </w:rPr>
        <w:t xml:space="preserve"> on governments</w:t>
      </w:r>
      <w:r>
        <w:rPr>
          <w:rFonts w:eastAsia="SimSun"/>
          <w:color w:val="000000" w:themeColor="text1"/>
        </w:rPr>
        <w:t xml:space="preserve">’ </w:t>
      </w:r>
      <w:r w:rsidRPr="00115748">
        <w:rPr>
          <w:rFonts w:eastAsia="SimSun"/>
          <w:color w:val="000000" w:themeColor="text1"/>
        </w:rPr>
        <w:t>agenda</w:t>
      </w:r>
      <w:r>
        <w:rPr>
          <w:rFonts w:eastAsia="SimSun"/>
          <w:color w:val="000000" w:themeColor="text1"/>
        </w:rPr>
        <w:t>s, as a result of which</w:t>
      </w:r>
      <w:r w:rsidRPr="00115748">
        <w:rPr>
          <w:rFonts w:eastAsia="SimSun"/>
          <w:color w:val="000000" w:themeColor="text1"/>
        </w:rPr>
        <w:t xml:space="preserve"> </w:t>
      </w:r>
      <w:r>
        <w:rPr>
          <w:rFonts w:eastAsia="SimSun"/>
          <w:color w:val="000000" w:themeColor="text1"/>
        </w:rPr>
        <w:t>w</w:t>
      </w:r>
      <w:r w:rsidRPr="00115748">
        <w:rPr>
          <w:rFonts w:eastAsia="SimSun"/>
          <w:color w:val="000000" w:themeColor="text1"/>
        </w:rPr>
        <w:t xml:space="preserve">ith few exceptions, </w:t>
      </w:r>
      <w:r>
        <w:rPr>
          <w:rFonts w:eastAsia="SimSun"/>
          <w:color w:val="000000" w:themeColor="text1"/>
        </w:rPr>
        <w:t>businesses</w:t>
      </w:r>
      <w:r w:rsidRPr="00115748">
        <w:rPr>
          <w:rFonts w:eastAsia="SimSun"/>
          <w:color w:val="000000" w:themeColor="text1"/>
        </w:rPr>
        <w:t xml:space="preserve"> have </w:t>
      </w:r>
      <w:r>
        <w:rPr>
          <w:rFonts w:eastAsia="SimSun"/>
          <w:color w:val="000000" w:themeColor="text1"/>
        </w:rPr>
        <w:t>made timid progress in promoting</w:t>
      </w:r>
      <w:r w:rsidRPr="00115748">
        <w:rPr>
          <w:rFonts w:eastAsia="SimSun"/>
          <w:color w:val="000000" w:themeColor="text1"/>
        </w:rPr>
        <w:t xml:space="preserve"> business ethics and </w:t>
      </w:r>
      <w:r>
        <w:rPr>
          <w:rFonts w:eastAsia="SimSun"/>
          <w:color w:val="000000" w:themeColor="text1"/>
        </w:rPr>
        <w:t>adopt internal codes of conduct.</w:t>
      </w:r>
    </w:p>
    <w:p w14:paraId="6F2FC121" w14:textId="77777777" w:rsidR="00F555E3" w:rsidRDefault="00F555E3" w:rsidP="00F555E3">
      <w:pPr>
        <w:pStyle w:val="Heading3"/>
      </w:pPr>
      <w:r>
        <w:t>Key recommendations</w:t>
      </w:r>
    </w:p>
    <w:p w14:paraId="1610F44B" w14:textId="19CF4F59" w:rsidR="00F555E3" w:rsidRDefault="00F555E3" w:rsidP="00F555E3">
      <w:pPr>
        <w:pStyle w:val="BulletedList"/>
      </w:pPr>
      <w:r>
        <w:t>Clearly communicate expectations that all businesses operating in and from the EaP territories act responsibly and respect RBC standards, both domestically and abroad. Engage in awareness-raising and capacity-building activities, particularly in sectors identified as high-risk, including, mining, oil</w:t>
      </w:r>
      <w:r w:rsidRPr="00115748">
        <w:t xml:space="preserve"> and </w:t>
      </w:r>
      <w:r>
        <w:t>gas, chemicals,</w:t>
      </w:r>
      <w:r w:rsidRPr="00115748">
        <w:t xml:space="preserve"> and agri</w:t>
      </w:r>
      <w:r>
        <w:t xml:space="preserve">culture. This includes promoting the implementation </w:t>
      </w:r>
      <w:r w:rsidR="00AE6F76">
        <w:t>of available</w:t>
      </w:r>
      <w:r>
        <w:t xml:space="preserve"> guidance</w:t>
      </w:r>
      <w:r w:rsidR="00981E64">
        <w:t>s</w:t>
      </w:r>
      <w:r>
        <w:t>, such as the OECD Due Diligence Guidance</w:t>
      </w:r>
      <w:r w:rsidRPr="00EA3A95">
        <w:t xml:space="preserve"> for Responsible Business Conduct and the sector-specific due diligence guidance</w:t>
      </w:r>
      <w:r w:rsidR="00981E64">
        <w:t>s</w:t>
      </w:r>
      <w:r>
        <w:t xml:space="preserve">. </w:t>
      </w:r>
      <w:r>
        <w:rPr>
          <w:color w:val="000000" w:themeColor="text1"/>
        </w:rPr>
        <w:t xml:space="preserve">Ensure that free and meaningful consultations with potentially affected stakeholders, as well as environmental and human rights impact assessments, are systematically carried out, in line with the </w:t>
      </w:r>
      <w:r w:rsidR="00AE6F76">
        <w:rPr>
          <w:color w:val="000000" w:themeColor="text1"/>
        </w:rPr>
        <w:t xml:space="preserve">OECD </w:t>
      </w:r>
      <w:r w:rsidRPr="00AE6F76">
        <w:rPr>
          <w:color w:val="000000" w:themeColor="text1"/>
        </w:rPr>
        <w:t>Guidelines</w:t>
      </w:r>
      <w:r>
        <w:rPr>
          <w:color w:val="000000" w:themeColor="text1"/>
        </w:rPr>
        <w:t xml:space="preserve"> </w:t>
      </w:r>
      <w:r w:rsidR="00AE6F76">
        <w:rPr>
          <w:color w:val="000000" w:themeColor="text1"/>
        </w:rPr>
        <w:t xml:space="preserve">for Multinational Enterprises </w:t>
      </w:r>
      <w:r>
        <w:rPr>
          <w:color w:val="000000" w:themeColor="text1"/>
        </w:rPr>
        <w:t xml:space="preserve">and </w:t>
      </w:r>
      <w:r w:rsidRPr="00AE6F76">
        <w:rPr>
          <w:color w:val="000000" w:themeColor="text1"/>
        </w:rPr>
        <w:t>the UN Guiding Principles</w:t>
      </w:r>
      <w:r w:rsidR="00AE6F76" w:rsidRPr="00AE6F76">
        <w:rPr>
          <w:color w:val="000000" w:themeColor="text1"/>
        </w:rPr>
        <w:t xml:space="preserve"> </w:t>
      </w:r>
      <w:r w:rsidR="00AE6F76" w:rsidRPr="00AE6F76">
        <w:t>on</w:t>
      </w:r>
      <w:r w:rsidR="00AE6F76" w:rsidRPr="00C44C12">
        <w:t xml:space="preserve"> Business and Human Rights</w:t>
      </w:r>
      <w:r w:rsidR="007F4BE6">
        <w:t>.</w:t>
      </w:r>
    </w:p>
    <w:p w14:paraId="2378AAE7" w14:textId="77777777" w:rsidR="00F555E3" w:rsidRDefault="00F555E3" w:rsidP="00F555E3">
      <w:pPr>
        <w:pStyle w:val="Para0"/>
        <w:numPr>
          <w:ilvl w:val="0"/>
          <w:numId w:val="43"/>
        </w:numPr>
      </w:pPr>
      <w:r>
        <w:t xml:space="preserve">Promote policy coherence and alignment on RBC among government institutions. Developing a National Action Plan on </w:t>
      </w:r>
      <w:r w:rsidRPr="006C48FA">
        <w:t xml:space="preserve">RBC or Business and Human Rights </w:t>
      </w:r>
      <w:r>
        <w:t>in cooperation with relevant stakeholders (including businesses, trade unions and civil society) and in line with international good practices, could be useful in this regard for Armenia, Azerbaijan, Belarus, and Moldova. Ukraine is encouraged to accelerate efforts to develop a NAP, incorporating findings from the existing National Baseline Assessment. In Georgia, revising the current business and human rights chapter in the NAP on human rights, or drafting a self-standing NAP on</w:t>
      </w:r>
      <w:r w:rsidRPr="006C48FA">
        <w:t xml:space="preserve"> </w:t>
      </w:r>
      <w:r>
        <w:t>RBC or BHR, in line with international guidance and capturing the findings of the National Baseline Study, could help ensure effective design and implementation of RBC policies.</w:t>
      </w:r>
    </w:p>
    <w:p w14:paraId="67412899" w14:textId="77777777" w:rsidR="00F555E3" w:rsidRDefault="00F555E3" w:rsidP="00F555E3">
      <w:pPr>
        <w:pStyle w:val="Para0"/>
        <w:numPr>
          <w:ilvl w:val="0"/>
          <w:numId w:val="43"/>
        </w:numPr>
      </w:pPr>
      <w:r w:rsidRPr="00C95589">
        <w:t>Ensure that any RBC-related reforms, including in rela</w:t>
      </w:r>
      <w:r>
        <w:t xml:space="preserve">tion to state-owned enterprises </w:t>
      </w:r>
      <w:r w:rsidRPr="00C95589">
        <w:t>(SOEs), public procurement, disclosure, and corporate reporting, adequately reflect and address RBC considerations. All reforms and new legislation should be subject to stakeholder consultations and undertaken at a pace that is compatible with the ability to safeguard environmental and social standards. Specifically, on SOEs, take actions to align state ownership rules with the Guidelines, the SOE Guidelines, and the UN Guiding Principles; establish and clearly communicate RBC and corporate governance policies of SOEs, and establish mechanisms for their implementation</w:t>
      </w:r>
      <w:r>
        <w:t xml:space="preserve">. </w:t>
      </w:r>
    </w:p>
    <w:p w14:paraId="49BF56C4" w14:textId="77777777" w:rsidR="00F555E3" w:rsidRDefault="00F555E3" w:rsidP="00F555E3">
      <w:pPr>
        <w:pStyle w:val="Para0"/>
        <w:numPr>
          <w:ilvl w:val="0"/>
          <w:numId w:val="43"/>
        </w:numPr>
      </w:pPr>
      <w:r>
        <w:t>Ensure adequate working conditions, in particular on occupational safety and health, and the effective and robust functioning of labour inspection, including a comprehensive mandate and large scope of application. Increase efforts to protect and promote the rights to form and join trade unions and introduce and enforce penalties for arbitrary dismissal of employees. Increase efforts to guarantee non-discrimination in the workplace.</w:t>
      </w:r>
    </w:p>
    <w:p w14:paraId="4C70673B" w14:textId="77777777" w:rsidR="00F555E3" w:rsidRDefault="00F555E3" w:rsidP="00F555E3">
      <w:pPr>
        <w:pStyle w:val="Para0"/>
        <w:numPr>
          <w:ilvl w:val="0"/>
          <w:numId w:val="43"/>
        </w:numPr>
      </w:pPr>
      <w:r>
        <w:t>Promote compliance with internationally recognised environmental standards as a competitive advantage that can open up opportunities for international investment and trade. Strengthen the quality of environmental impact assessments, the public’s access to them, and overall compliance with EIAs. Set clear expectations that businesses report on environmental impacts and risks of specific operations.</w:t>
      </w:r>
    </w:p>
    <w:p w14:paraId="0F352DF6" w14:textId="77777777" w:rsidR="00F555E3" w:rsidRDefault="00F555E3" w:rsidP="00F555E3">
      <w:pPr>
        <w:pStyle w:val="Para0"/>
        <w:numPr>
          <w:ilvl w:val="0"/>
          <w:numId w:val="43"/>
        </w:numPr>
      </w:pPr>
      <w:r>
        <w:lastRenderedPageBreak/>
        <w:t>Continue ongoing reforms to combat bribery and corruption. Take action to strengthen the anti-corruption framework through the design and implementation of comprehensive strategies for fighting corruption. Engage companies, including SOEs, in combatting corruption by assisting them in developing and implementing preventive measures such as codes of conduct, internal controls, and compliance programmes.</w:t>
      </w:r>
    </w:p>
    <w:p w14:paraId="0630DC96" w14:textId="77777777" w:rsidR="00F555E3" w:rsidRDefault="00F555E3" w:rsidP="00F555E3">
      <w:pPr>
        <w:pStyle w:val="Heading2"/>
        <w:rPr>
          <w:rFonts w:hint="eastAsia"/>
        </w:rPr>
      </w:pPr>
      <w:bookmarkStart w:id="140" w:name="_Toc31228359"/>
      <w:bookmarkStart w:id="141" w:name="_Toc31983296"/>
      <w:bookmarkStart w:id="142" w:name="_Toc31991415"/>
      <w:bookmarkStart w:id="143" w:name="_Toc33443307"/>
      <w:r>
        <w:t>Branding as a responsible business destination can help attract FDI</w:t>
      </w:r>
      <w:bookmarkEnd w:id="140"/>
      <w:bookmarkEnd w:id="141"/>
      <w:bookmarkEnd w:id="142"/>
      <w:bookmarkEnd w:id="143"/>
    </w:p>
    <w:p w14:paraId="1B8B0C09" w14:textId="2CF8ABE1" w:rsidR="00F555E3" w:rsidRDefault="00F555E3" w:rsidP="00F555E3">
      <w:pPr>
        <w:pStyle w:val="Para0"/>
      </w:pPr>
      <w:r w:rsidRPr="00115748">
        <w:t xml:space="preserve">Responsible </w:t>
      </w:r>
      <w:r>
        <w:t>b</w:t>
      </w:r>
      <w:r w:rsidRPr="00115748">
        <w:t xml:space="preserve">usiness </w:t>
      </w:r>
      <w:r>
        <w:t>c</w:t>
      </w:r>
      <w:r w:rsidRPr="00115748">
        <w:t>onduct is a key element of a healthy business environment – one that attracts quality investment, minimises risks for businesses, ensures stakeholder rights are respected</w:t>
      </w:r>
      <w:r>
        <w:t>,</w:t>
      </w:r>
      <w:r w:rsidRPr="00115748">
        <w:t xml:space="preserve"> and ultimately </w:t>
      </w:r>
      <w:r>
        <w:t>contributes</w:t>
      </w:r>
      <w:r w:rsidRPr="00115748">
        <w:t xml:space="preserve"> to </w:t>
      </w:r>
      <w:r>
        <w:t>sustainable development</w:t>
      </w:r>
      <w:r w:rsidRPr="00115748">
        <w:t xml:space="preserve">. RBC principles and standards set out </w:t>
      </w:r>
      <w:r>
        <w:t>the</w:t>
      </w:r>
      <w:r w:rsidRPr="00115748">
        <w:t xml:space="preserve"> expectation that businesses</w:t>
      </w:r>
      <w:r w:rsidRPr="00B649A4">
        <w:t xml:space="preserve"> </w:t>
      </w:r>
      <w:r>
        <w:t>– regardless of their legal status, size, ownership structure or sector –</w:t>
      </w:r>
      <w:r w:rsidRPr="00115748">
        <w:t xml:space="preserve"> should avoid and address </w:t>
      </w:r>
      <w:r>
        <w:t xml:space="preserve">potential </w:t>
      </w:r>
      <w:r w:rsidRPr="00115748">
        <w:t xml:space="preserve">adverse impacts of </w:t>
      </w:r>
      <w:r>
        <w:t>their</w:t>
      </w:r>
      <w:r w:rsidRPr="00115748">
        <w:t xml:space="preserve"> activities in </w:t>
      </w:r>
      <w:r>
        <w:t xml:space="preserve">the </w:t>
      </w:r>
      <w:r w:rsidRPr="00115748">
        <w:t xml:space="preserve">countries where they operate. </w:t>
      </w:r>
      <w:r w:rsidRPr="00C44C12">
        <w:t xml:space="preserve">The three main instruments that have become the key reference points for responsible business, and which outline how companies can act responsibly, are the ILO Tripartite Declaration of Principles concerning Multinational Enterprises and Social Policy (ILO MNE Declaration), the OECD </w:t>
      </w:r>
      <w:r w:rsidRPr="00AE6F76">
        <w:t xml:space="preserve">Guidelines for Multinational Enterprises </w:t>
      </w:r>
      <w:r w:rsidRPr="00C44C12">
        <w:t>(</w:t>
      </w:r>
      <w:r w:rsidR="00AE6F76">
        <w:t xml:space="preserve">the </w:t>
      </w:r>
      <w:r w:rsidRPr="00AB12BA">
        <w:rPr>
          <w:i/>
        </w:rPr>
        <w:t>Guidelines</w:t>
      </w:r>
      <w:r w:rsidRPr="00C44C12">
        <w:t>) and the UN Guiding Principles on Business and Human Rights (</w:t>
      </w:r>
      <w:r w:rsidR="00AE6F76">
        <w:t xml:space="preserve">the </w:t>
      </w:r>
      <w:r w:rsidRPr="00AE6F76">
        <w:rPr>
          <w:i/>
        </w:rPr>
        <w:t>UN Guiding Principles</w:t>
      </w:r>
      <w:r w:rsidRPr="00C44C12">
        <w:t>). They are aligned with, and complement, each other</w:t>
      </w:r>
      <w:r>
        <w:t xml:space="preserve">. RBC expectations are also integrated in regional systems such as the European Union and, </w:t>
      </w:r>
      <w:r w:rsidRPr="00115748">
        <w:t xml:space="preserve">increasingly, in national </w:t>
      </w:r>
      <w:r>
        <w:t>legislation</w:t>
      </w:r>
      <w:r w:rsidRPr="00115748">
        <w:t xml:space="preserve"> (Box </w:t>
      </w:r>
      <w:r w:rsidR="005B6C57">
        <w:t>5</w:t>
      </w:r>
      <w:r w:rsidRPr="00115748">
        <w:t>.1).</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5B6C57" w:rsidRPr="00A86E0B" w14:paraId="441B722B" w14:textId="77777777" w:rsidTr="00161CE5">
        <w:trPr>
          <w:jc w:val="center"/>
        </w:trPr>
        <w:tc>
          <w:tcPr>
            <w:tcW w:w="9309" w:type="dxa"/>
            <w:shd w:val="clear" w:color="auto" w:fill="E1E6EB"/>
          </w:tcPr>
          <w:p w14:paraId="125AFA8D" w14:textId="08139F12" w:rsidR="005B6C57" w:rsidRPr="00C95589" w:rsidRDefault="005B6C57" w:rsidP="00161CE5">
            <w:pPr>
              <w:pStyle w:val="Caption"/>
              <w:keepNext w:val="0"/>
            </w:pPr>
            <w:bookmarkStart w:id="144" w:name="_Toc31983232"/>
            <w:bookmarkStart w:id="145" w:name="_Toc31991351"/>
            <w:bookmarkStart w:id="146" w:name="_Toc33443349"/>
            <w:r>
              <w:t xml:space="preserve">Box </w:t>
            </w:r>
            <w:fldSimple w:instr=" STYLEREF 1 \s ">
              <w:r w:rsidR="00161CE5">
                <w:rPr>
                  <w:noProof/>
                </w:rPr>
                <w:t>5</w:t>
              </w:r>
            </w:fldSimple>
            <w:r>
              <w:t>.</w:t>
            </w:r>
            <w:r>
              <w:rPr>
                <w:noProof/>
              </w:rPr>
              <w:fldChar w:fldCharType="begin"/>
            </w:r>
            <w:r>
              <w:rPr>
                <w:noProof/>
              </w:rPr>
              <w:instrText xml:space="preserve"> SEQ Box \* ARABIC \s 1 </w:instrText>
            </w:r>
            <w:r>
              <w:rPr>
                <w:noProof/>
              </w:rPr>
              <w:fldChar w:fldCharType="separate"/>
            </w:r>
            <w:r w:rsidR="00161CE5">
              <w:rPr>
                <w:noProof/>
              </w:rPr>
              <w:t>1</w:t>
            </w:r>
            <w:r>
              <w:rPr>
                <w:noProof/>
              </w:rPr>
              <w:fldChar w:fldCharType="end"/>
            </w:r>
            <w:r>
              <w:t xml:space="preserve">. </w:t>
            </w:r>
            <w:r w:rsidRPr="000E1E8F">
              <w:t xml:space="preserve">RBC, CSR, and </w:t>
            </w:r>
            <w:r>
              <w:t>BHR:</w:t>
            </w:r>
            <w:r w:rsidRPr="000E1E8F">
              <w:t xml:space="preserve"> towards international convergence and coherence</w:t>
            </w:r>
            <w:bookmarkEnd w:id="144"/>
            <w:bookmarkEnd w:id="145"/>
            <w:bookmarkEnd w:id="146"/>
          </w:p>
          <w:p w14:paraId="474AAF64" w14:textId="77777777" w:rsidR="005B6C57" w:rsidRPr="00C95589" w:rsidRDefault="005B6C57" w:rsidP="00161CE5">
            <w:pPr>
              <w:pStyle w:val="Para0"/>
              <w:rPr>
                <w:sz w:val="20"/>
                <w:szCs w:val="20"/>
              </w:rPr>
            </w:pPr>
            <w:r w:rsidRPr="00C95589">
              <w:rPr>
                <w:sz w:val="20"/>
                <w:szCs w:val="20"/>
              </w:rPr>
              <w:t xml:space="preserve">Many businesses, governments and stakeholders are familiar with the term Corporate Social Responsibility (CSR), which has historically been used to describe activities by businesses that aim to contribute to society and the common good. Over the last years, CSR has increasingly been used alongside RBC and BHR, with some using the terms interchangeably (for instance, the European Union). </w:t>
            </w:r>
          </w:p>
          <w:p w14:paraId="173763B3" w14:textId="77777777" w:rsidR="005B6C57" w:rsidRPr="00C95589" w:rsidRDefault="005B6C57" w:rsidP="00161CE5">
            <w:pPr>
              <w:pStyle w:val="Para0"/>
              <w:rPr>
                <w:sz w:val="20"/>
                <w:szCs w:val="20"/>
              </w:rPr>
            </w:pPr>
            <w:r w:rsidRPr="00C95589">
              <w:rPr>
                <w:sz w:val="20"/>
                <w:szCs w:val="20"/>
              </w:rPr>
              <w:t>How do these concepts relate to each other? They all reflect the expectation that businesses should consider the impact of their operations and supply chains on people, the planet and society as part of their core business considerations and not as an add-on. This includes the need to avoid and address negative environmental and social impacts. A key characteristic of CSR, RBC and BHR is that they refer to corporate conduct beyond simply complying with domestic law and call on business to contribute positively to sustainable development while managing risks and impacts that may result from their activities. These concepts should not be understood to be equivalent to philanthropy.</w:t>
            </w:r>
          </w:p>
          <w:p w14:paraId="42F891BC" w14:textId="77777777" w:rsidR="005B6C57" w:rsidRPr="00C95589" w:rsidRDefault="005B6C57" w:rsidP="00161CE5">
            <w:pPr>
              <w:pStyle w:val="Para0"/>
              <w:rPr>
                <w:sz w:val="20"/>
                <w:szCs w:val="20"/>
              </w:rPr>
            </w:pPr>
            <w:r w:rsidRPr="00C95589">
              <w:rPr>
                <w:sz w:val="20"/>
                <w:szCs w:val="20"/>
              </w:rPr>
              <w:t xml:space="preserve">The consensus built around the 2011 update of the Guidelines and the unanimous endorsement of the UN Guiding Principles by the UN Human Rights Council, together with the ILO Tripartite Declaration of Principles concerning Multinational Enterprises and Social Policy (ILO MNE Declaration, last updated in 2017), has brought about international convergence and coherence on what RBC entails. This international convergence is echoed at the European level. The European Union (EU) adopted a renewed EU Strategy on Corporate Social Responsibility in 2011 that reflects the Guidelines and the UN Guiding Principles. CSR is defined as “the responsibility of enterprises for their impacts on society.” </w:t>
            </w:r>
          </w:p>
          <w:p w14:paraId="54FBAC9E" w14:textId="77777777" w:rsidR="005B6C57" w:rsidRPr="00C95589" w:rsidRDefault="005B6C57" w:rsidP="00161CE5">
            <w:pPr>
              <w:pStyle w:val="Para0"/>
              <w:rPr>
                <w:sz w:val="20"/>
                <w:szCs w:val="20"/>
              </w:rPr>
            </w:pPr>
            <w:r w:rsidRPr="00C95589">
              <w:rPr>
                <w:sz w:val="20"/>
                <w:szCs w:val="20"/>
              </w:rPr>
              <w:t xml:space="preserve">Human rights are an important aspect of CSR/RBC. The UN Guiding Principles clarifies the corporate responsibility to respect human rights and ways in which companies should operate to prevent, mitigate and redress adverse human rights impacts, as well as the state duty to protect against such impacts by companies. The Guidelines draw on and are aligned with the UN Guiding Principles, which elaborate in detail the corporate responsibility to respect human rights, and access </w:t>
            </w:r>
            <w:r w:rsidRPr="00C95589">
              <w:rPr>
                <w:sz w:val="20"/>
                <w:szCs w:val="20"/>
              </w:rPr>
              <w:lastRenderedPageBreak/>
              <w:t>to remedy for business-related breaches. The EU endorsed the UN Guiding Principles in its 2015 Action Plan on Human Rights and Democracy and has committed to their implementation. The Council of Europe’s Committee of Ministers 2016 Recommendation calls upon its member states to “effectively implement the UN Guiding Principles as the current globally agreed baseline in the field of business and human rights.”</w:t>
            </w:r>
          </w:p>
          <w:p w14:paraId="561A02A3" w14:textId="4A74DEBD" w:rsidR="005B6C57" w:rsidRDefault="005B6C57" w:rsidP="00161CE5">
            <w:pPr>
              <w:pStyle w:val="Para0"/>
              <w:rPr>
                <w:sz w:val="20"/>
                <w:szCs w:val="20"/>
              </w:rPr>
            </w:pPr>
            <w:r w:rsidRPr="00C95589">
              <w:rPr>
                <w:sz w:val="20"/>
                <w:szCs w:val="20"/>
              </w:rPr>
              <w:t>At national level, in 2015, the UK adopted the Modern Slavery Act requiring businesses offering goods and services on the UK market and with a certain turnover to report each year on the steps they have taken during the previous year to ensure that slavery and human trafficking are not taking place in their own business or in their supply chains. In 2017, France adopted due diligence legislation applicable to very large French companies and other companies with a substantial presence in France. Other governments, like Canada and Germany for example, have foreseen consequences for companies in terms of trade advocacy support in case of non-compliance with the expectation that they operate in a manner consistent with the Guidelines.</w:t>
            </w:r>
          </w:p>
          <w:p w14:paraId="4DF4D1A4" w14:textId="77777777" w:rsidR="005B6C57" w:rsidRPr="003E7309" w:rsidRDefault="005B6C57" w:rsidP="00161CE5">
            <w:pPr>
              <w:pStyle w:val="Sourcenotes"/>
              <w:rPr>
                <w:lang w:val="fr-FR"/>
              </w:rPr>
            </w:pPr>
            <w:r w:rsidRPr="003E7309">
              <w:rPr>
                <w:i/>
                <w:lang w:val="fr-FR"/>
              </w:rPr>
              <w:t>Source</w:t>
            </w:r>
            <w:r w:rsidRPr="003E7309">
              <w:rPr>
                <w:lang w:val="fr-FR"/>
              </w:rPr>
              <w:t>: OECD (2011b</w:t>
            </w:r>
            <w:r>
              <w:rPr>
                <w:lang w:val="fr-FR"/>
              </w:rPr>
              <w:t xml:space="preserve">); UN (2011); EC (2011) ; </w:t>
            </w:r>
            <w:r w:rsidRPr="00965122">
              <w:rPr>
                <w:lang w:val="fr-FR"/>
              </w:rPr>
              <w:t>OECD et al. (2019)</w:t>
            </w:r>
          </w:p>
        </w:tc>
      </w:tr>
    </w:tbl>
    <w:p w14:paraId="405968D2" w14:textId="0DFA09E8" w:rsidR="00F555E3" w:rsidRDefault="00F555E3" w:rsidP="00F555E3">
      <w:pPr>
        <w:pStyle w:val="Para0"/>
      </w:pPr>
      <w:r w:rsidRPr="00115748">
        <w:lastRenderedPageBreak/>
        <w:t>RBC means integrating environmental</w:t>
      </w:r>
      <w:r>
        <w:t xml:space="preserve"> and</w:t>
      </w:r>
      <w:r w:rsidRPr="00115748">
        <w:t xml:space="preserve"> social </w:t>
      </w:r>
      <w:r>
        <w:t>concerns</w:t>
      </w:r>
      <w:r w:rsidRPr="00115748">
        <w:t xml:space="preserve"> within core business activities, </w:t>
      </w:r>
      <w:r>
        <w:t>and</w:t>
      </w:r>
      <w:r w:rsidRPr="00115748">
        <w:t xml:space="preserve"> throughout supply chains and business relationships. The </w:t>
      </w:r>
      <w:r w:rsidRPr="001A0DEE">
        <w:rPr>
          <w:i/>
        </w:rPr>
        <w:t>Guidelines</w:t>
      </w:r>
      <w:r w:rsidRPr="00115748">
        <w:rPr>
          <w:i/>
          <w:iCs/>
        </w:rPr>
        <w:t xml:space="preserve"> </w:t>
      </w:r>
      <w:r w:rsidRPr="00115748">
        <w:t>recommend integrat</w:t>
      </w:r>
      <w:r>
        <w:t>ing</w:t>
      </w:r>
      <w:r w:rsidRPr="00115748">
        <w:t xml:space="preserve"> RBC in the areas of disclosure</w:t>
      </w:r>
      <w:r>
        <w:t>,</w:t>
      </w:r>
      <w:r w:rsidRPr="00115748">
        <w:t xml:space="preserve"> human rights</w:t>
      </w:r>
      <w:r>
        <w:t>,</w:t>
      </w:r>
      <w:r w:rsidRPr="00115748">
        <w:t xml:space="preserve"> employment and industrial relations</w:t>
      </w:r>
      <w:r>
        <w:t>,</w:t>
      </w:r>
      <w:r w:rsidRPr="00115748">
        <w:t xml:space="preserve"> environment</w:t>
      </w:r>
      <w:r>
        <w:t>,</w:t>
      </w:r>
      <w:r w:rsidRPr="00115748">
        <w:t xml:space="preserve"> combatting bribery</w:t>
      </w:r>
      <w:r>
        <w:t>,</w:t>
      </w:r>
      <w:r w:rsidRPr="00115748">
        <w:t xml:space="preserve"> consumer interests</w:t>
      </w:r>
      <w:r>
        <w:t>,</w:t>
      </w:r>
      <w:r w:rsidRPr="00115748">
        <w:t xml:space="preserve"> science and technology</w:t>
      </w:r>
      <w:r>
        <w:t>,</w:t>
      </w:r>
      <w:r w:rsidRPr="00115748">
        <w:t xml:space="preserve"> competition</w:t>
      </w:r>
      <w:r>
        <w:t>,</w:t>
      </w:r>
      <w:r w:rsidRPr="00115748">
        <w:t xml:space="preserve"> and taxation (Box </w:t>
      </w:r>
      <w:r>
        <w:t>5</w:t>
      </w:r>
      <w:r w:rsidRPr="00115748">
        <w:t xml:space="preserve">.2). A key element of RBC is risk-based due diligence – a process through which businesses identify, prevent and mitigate their actual and potential negative </w:t>
      </w:r>
      <w:r>
        <w:t xml:space="preserve">societal </w:t>
      </w:r>
      <w:r w:rsidRPr="00115748">
        <w:t>impacts, and account for how those impacts are addressed.</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A86E0B" w:rsidRPr="00EA3A95" w14:paraId="53390BAE" w14:textId="77777777" w:rsidTr="00161CE5">
        <w:trPr>
          <w:jc w:val="center"/>
        </w:trPr>
        <w:tc>
          <w:tcPr>
            <w:tcW w:w="9309" w:type="dxa"/>
            <w:shd w:val="clear" w:color="auto" w:fill="E1E6EB"/>
          </w:tcPr>
          <w:p w14:paraId="01989268" w14:textId="48C0037C" w:rsidR="00A86E0B" w:rsidRDefault="00A86E0B" w:rsidP="00161CE5">
            <w:pPr>
              <w:pStyle w:val="Caption"/>
              <w:keepNext w:val="0"/>
            </w:pPr>
            <w:bookmarkStart w:id="147" w:name="_Toc31983233"/>
            <w:bookmarkStart w:id="148" w:name="_Toc31991352"/>
            <w:bookmarkStart w:id="149" w:name="_Toc33443350"/>
            <w:r>
              <w:t xml:space="preserve">Box </w:t>
            </w:r>
            <w:fldSimple w:instr=" STYLEREF 1 \s ">
              <w:r w:rsidR="00DC4D16">
                <w:rPr>
                  <w:noProof/>
                </w:rPr>
                <w:t>5</w:t>
              </w:r>
            </w:fldSimple>
            <w:r>
              <w:t>.</w:t>
            </w:r>
            <w:r>
              <w:rPr>
                <w:noProof/>
              </w:rPr>
              <w:fldChar w:fldCharType="begin"/>
            </w:r>
            <w:r>
              <w:rPr>
                <w:noProof/>
              </w:rPr>
              <w:instrText xml:space="preserve"> SEQ Box \* ARABIC \s 1 </w:instrText>
            </w:r>
            <w:r>
              <w:rPr>
                <w:noProof/>
              </w:rPr>
              <w:fldChar w:fldCharType="separate"/>
            </w:r>
            <w:r w:rsidR="00DC4D16">
              <w:rPr>
                <w:noProof/>
              </w:rPr>
              <w:t>2</w:t>
            </w:r>
            <w:r>
              <w:rPr>
                <w:noProof/>
              </w:rPr>
              <w:fldChar w:fldCharType="end"/>
            </w:r>
            <w:r>
              <w:t xml:space="preserve">. </w:t>
            </w:r>
            <w:r w:rsidRPr="000E1E8F">
              <w:t>Understanding the OECD Guidelines for Multinational Enterprises</w:t>
            </w:r>
            <w:bookmarkEnd w:id="147"/>
            <w:bookmarkEnd w:id="148"/>
            <w:bookmarkEnd w:id="149"/>
          </w:p>
          <w:p w14:paraId="553561DE" w14:textId="77777777" w:rsidR="00A86E0B" w:rsidRPr="00923B89" w:rsidRDefault="00A86E0B" w:rsidP="00161CE5">
            <w:pPr>
              <w:pStyle w:val="Para0"/>
              <w:rPr>
                <w:sz w:val="20"/>
              </w:rPr>
            </w:pPr>
            <w:r w:rsidRPr="00923B89">
              <w:rPr>
                <w:sz w:val="20"/>
              </w:rPr>
              <w:t xml:space="preserve">Addressed by Adherents to the OECD </w:t>
            </w:r>
            <w:r w:rsidRPr="00F27D48">
              <w:rPr>
                <w:i/>
                <w:sz w:val="20"/>
              </w:rPr>
              <w:t>Declaration on International Investment and Multinational Enterprises</w:t>
            </w:r>
            <w:r w:rsidRPr="006235F6">
              <w:rPr>
                <w:sz w:val="20"/>
              </w:rPr>
              <w:t xml:space="preserve"> </w:t>
            </w:r>
            <w:r>
              <w:rPr>
                <w:sz w:val="20"/>
              </w:rPr>
              <w:t xml:space="preserve">(the </w:t>
            </w:r>
            <w:r w:rsidRPr="00B711B6">
              <w:rPr>
                <w:i/>
                <w:sz w:val="20"/>
              </w:rPr>
              <w:t>Declaration</w:t>
            </w:r>
            <w:r>
              <w:rPr>
                <w:sz w:val="20"/>
              </w:rPr>
              <w:t xml:space="preserve">) </w:t>
            </w:r>
            <w:r w:rsidRPr="00923B89">
              <w:rPr>
                <w:sz w:val="20"/>
              </w:rPr>
              <w:t xml:space="preserve">to businesses operating in or from their jurisdictions, the </w:t>
            </w:r>
            <w:r w:rsidRPr="00094354">
              <w:rPr>
                <w:i/>
                <w:sz w:val="20"/>
              </w:rPr>
              <w:t>Guidelines</w:t>
            </w:r>
            <w:r w:rsidRPr="006235F6">
              <w:rPr>
                <w:sz w:val="20"/>
              </w:rPr>
              <w:t xml:space="preserve"> </w:t>
            </w:r>
            <w:r w:rsidRPr="00923B89">
              <w:rPr>
                <w:sz w:val="20"/>
              </w:rPr>
              <w:t>set out principles and standards in all major areas related to RBC, including information disclosure, human rights, employment and industrial relations, environment, bribery and corruption, consumer interests, science and technol</w:t>
            </w:r>
            <w:r>
              <w:rPr>
                <w:sz w:val="20"/>
              </w:rPr>
              <w:t xml:space="preserve">ogy, competition, and taxation. </w:t>
            </w:r>
            <w:r w:rsidRPr="00923B89">
              <w:rPr>
                <w:sz w:val="20"/>
              </w:rPr>
              <w:t xml:space="preserve">Their purpose is to ensure that business operations are in harmony with government policies, to strengthen the basis of mutual confidence between businesses and the societies in which they operate, to improve foreign investment climate, and to enhance the contribution of the private sector to sustainable development. </w:t>
            </w:r>
            <w:r w:rsidRPr="00420EE0">
              <w:rPr>
                <w:sz w:val="20"/>
              </w:rPr>
              <w:t>As noted in Box 6.1,</w:t>
            </w:r>
            <w:r>
              <w:rPr>
                <w:sz w:val="20"/>
              </w:rPr>
              <w:t xml:space="preserve"> t</w:t>
            </w:r>
            <w:r w:rsidRPr="00923B89">
              <w:rPr>
                <w:sz w:val="20"/>
              </w:rPr>
              <w:t xml:space="preserve">ogether with the </w:t>
            </w:r>
            <w:r w:rsidRPr="006235F6">
              <w:rPr>
                <w:i/>
                <w:sz w:val="20"/>
              </w:rPr>
              <w:t>UN Guiding Principles</w:t>
            </w:r>
            <w:r w:rsidRPr="00923B89">
              <w:rPr>
                <w:sz w:val="20"/>
              </w:rPr>
              <w:t xml:space="preserve"> and the </w:t>
            </w:r>
            <w:r w:rsidRPr="006235F6">
              <w:rPr>
                <w:i/>
                <w:sz w:val="20"/>
              </w:rPr>
              <w:t>ILO Conventions</w:t>
            </w:r>
            <w:r>
              <w:rPr>
                <w:i/>
                <w:sz w:val="20"/>
              </w:rPr>
              <w:t xml:space="preserve"> and </w:t>
            </w:r>
            <w:r w:rsidRPr="00420EE0">
              <w:rPr>
                <w:i/>
                <w:sz w:val="20"/>
              </w:rPr>
              <w:t>ILO MNE Declaration,</w:t>
            </w:r>
            <w:r w:rsidRPr="00923B89">
              <w:rPr>
                <w:sz w:val="20"/>
              </w:rPr>
              <w:t xml:space="preserve"> </w:t>
            </w:r>
            <w:r>
              <w:rPr>
                <w:sz w:val="20"/>
              </w:rPr>
              <w:t xml:space="preserve">they </w:t>
            </w:r>
            <w:r w:rsidRPr="00923B89">
              <w:rPr>
                <w:sz w:val="20"/>
              </w:rPr>
              <w:t xml:space="preserve">are one of the major international instruments on RBC. </w:t>
            </w:r>
          </w:p>
          <w:p w14:paraId="7BF8636D" w14:textId="77777777" w:rsidR="00A86E0B" w:rsidRPr="00923B89" w:rsidRDefault="00A86E0B" w:rsidP="00161CE5">
            <w:pPr>
              <w:pStyle w:val="Para0"/>
              <w:rPr>
                <w:sz w:val="20"/>
              </w:rPr>
            </w:pPr>
            <w:r w:rsidRPr="00923B89">
              <w:rPr>
                <w:sz w:val="20"/>
              </w:rPr>
              <w:t xml:space="preserve">The </w:t>
            </w:r>
            <w:r w:rsidRPr="00B711B6">
              <w:rPr>
                <w:i/>
                <w:sz w:val="20"/>
              </w:rPr>
              <w:t>Guidelines</w:t>
            </w:r>
            <w:r w:rsidRPr="006235F6">
              <w:rPr>
                <w:sz w:val="20"/>
              </w:rPr>
              <w:t xml:space="preserve"> </w:t>
            </w:r>
            <w:r w:rsidRPr="00923B89">
              <w:rPr>
                <w:sz w:val="20"/>
              </w:rPr>
              <w:t>do not aim to introduce differences of treatment between multinational and domestic enterprises</w:t>
            </w:r>
            <w:r>
              <w:rPr>
                <w:sz w:val="20"/>
              </w:rPr>
              <w:t>, but to</w:t>
            </w:r>
            <w:r w:rsidRPr="00923B89">
              <w:rPr>
                <w:sz w:val="20"/>
              </w:rPr>
              <w:t xml:space="preserve"> reflect good practice for all. Adherents </w:t>
            </w:r>
            <w:r>
              <w:rPr>
                <w:sz w:val="20"/>
              </w:rPr>
              <w:t xml:space="preserve">to the </w:t>
            </w:r>
            <w:r w:rsidRPr="00B711B6">
              <w:rPr>
                <w:i/>
                <w:sz w:val="20"/>
              </w:rPr>
              <w:t>Declaration</w:t>
            </w:r>
            <w:r>
              <w:rPr>
                <w:sz w:val="20"/>
              </w:rPr>
              <w:t xml:space="preserve"> </w:t>
            </w:r>
            <w:r w:rsidRPr="00923B89">
              <w:rPr>
                <w:sz w:val="20"/>
              </w:rPr>
              <w:t xml:space="preserve">wish to encourage the widest possible observance of the </w:t>
            </w:r>
            <w:r w:rsidRPr="006235F6">
              <w:rPr>
                <w:sz w:val="20"/>
              </w:rPr>
              <w:t xml:space="preserve">Guidelines </w:t>
            </w:r>
            <w:r w:rsidRPr="00923B89">
              <w:rPr>
                <w:sz w:val="20"/>
              </w:rPr>
              <w:t xml:space="preserve">to the fullest extent possible, including among </w:t>
            </w:r>
            <w:r>
              <w:rPr>
                <w:sz w:val="20"/>
              </w:rPr>
              <w:t>SMEs,</w:t>
            </w:r>
            <w:r w:rsidRPr="00923B89">
              <w:rPr>
                <w:sz w:val="20"/>
              </w:rPr>
              <w:t xml:space="preserve"> while acknowledging that these businesses may not have the same capacities as larger enterprises. </w:t>
            </w:r>
          </w:p>
          <w:p w14:paraId="030B59D7" w14:textId="77777777" w:rsidR="00A86E0B" w:rsidRDefault="00A86E0B" w:rsidP="00161CE5">
            <w:pPr>
              <w:pStyle w:val="Para0"/>
              <w:rPr>
                <w:sz w:val="20"/>
              </w:rPr>
            </w:pPr>
            <w:r w:rsidRPr="00923B89">
              <w:rPr>
                <w:sz w:val="20"/>
              </w:rPr>
              <w:t xml:space="preserve">The </w:t>
            </w:r>
            <w:r w:rsidRPr="00B711B6">
              <w:rPr>
                <w:i/>
                <w:sz w:val="20"/>
              </w:rPr>
              <w:t>Guidelines</w:t>
            </w:r>
            <w:r w:rsidRPr="006235F6">
              <w:rPr>
                <w:sz w:val="20"/>
              </w:rPr>
              <w:t xml:space="preserve"> </w:t>
            </w:r>
            <w:r w:rsidRPr="00923B89">
              <w:rPr>
                <w:sz w:val="20"/>
              </w:rPr>
              <w:t xml:space="preserve">are supported by a unique implementation mechanism of National Contact Points (NCPs), agencies established by adhering government to promote and implement the </w:t>
            </w:r>
            <w:r w:rsidRPr="006235F6">
              <w:rPr>
                <w:i/>
                <w:sz w:val="20"/>
              </w:rPr>
              <w:t>Guidelines</w:t>
            </w:r>
            <w:r w:rsidRPr="00923B89">
              <w:rPr>
                <w:sz w:val="20"/>
              </w:rPr>
              <w:t>. The NCPs assist enterprises and their stakeholders to take appropriate measures to further the implementation of the Guidelines. They also provide a mediation and conciliation platform for resolving practical issues that may arise.</w:t>
            </w:r>
          </w:p>
          <w:p w14:paraId="65824FB7" w14:textId="77777777" w:rsidR="00A86E0B" w:rsidRPr="00EA3A95" w:rsidRDefault="00A86E0B" w:rsidP="00161CE5">
            <w:pPr>
              <w:pStyle w:val="Para0"/>
              <w:rPr>
                <w:sz w:val="20"/>
                <w:lang w:val="fr-FR"/>
              </w:rPr>
            </w:pPr>
            <w:r w:rsidRPr="00965122">
              <w:rPr>
                <w:sz w:val="20"/>
                <w:lang w:val="fr-FR"/>
              </w:rPr>
              <w:t xml:space="preserve">Source: OECD (2011a), OECD (2011b), OECD et al. </w:t>
            </w:r>
            <w:r w:rsidRPr="00EA3A95">
              <w:rPr>
                <w:sz w:val="20"/>
                <w:lang w:val="fr-FR"/>
              </w:rPr>
              <w:t>(2019)</w:t>
            </w:r>
          </w:p>
        </w:tc>
      </w:tr>
    </w:tbl>
    <w:p w14:paraId="411718EE" w14:textId="77777777" w:rsidR="00F555E3" w:rsidRDefault="00F555E3" w:rsidP="00F555E3">
      <w:pPr>
        <w:pStyle w:val="Para0"/>
      </w:pPr>
      <w:r>
        <w:t>Many businesses also find that responsible business is good business, beyond ensuring that they respect human rights and comply with relevant laws and regulations.</w:t>
      </w:r>
      <w:r w:rsidRPr="00115748" w:rsidDel="00B649A4">
        <w:t xml:space="preserve"> </w:t>
      </w:r>
      <w:r w:rsidRPr="00115748">
        <w:t>Responsible businesses are more likely to obtain and retain the social licen</w:t>
      </w:r>
      <w:r>
        <w:t>c</w:t>
      </w:r>
      <w:r w:rsidRPr="00115748">
        <w:t xml:space="preserve">e to operate, a critical </w:t>
      </w:r>
      <w:r w:rsidRPr="00115748">
        <w:lastRenderedPageBreak/>
        <w:t>component of long-term business strategy. Understanding, addressing, and avoiding risks material to business operations</w:t>
      </w:r>
      <w:r>
        <w:t xml:space="preserve"> </w:t>
      </w:r>
      <w:r w:rsidRPr="00115748">
        <w:t>– beyond financial risks – often leads to a competitive advantage. For example, environmentally friendly production processes can significantly decrease overall costs, while effective management of labour practices in supply chains can boost producti</w:t>
      </w:r>
      <w:r>
        <w:t>vity and protect brand capital. Conversely, a market in which internationally accepted environmental and social principles and standards are not respected faces an increased risk of being excluded from value chain activity.</w:t>
      </w:r>
    </w:p>
    <w:p w14:paraId="2E2437BB" w14:textId="7DADCC43" w:rsidR="00F555E3" w:rsidRDefault="00F555E3" w:rsidP="00F555E3">
      <w:pPr>
        <w:pStyle w:val="Para0"/>
      </w:pPr>
      <w:r w:rsidRPr="00115748">
        <w:t>While it is the role of bus</w:t>
      </w:r>
      <w:r>
        <w:t>inesses to behave responsibly, g</w:t>
      </w:r>
      <w:r w:rsidRPr="00115748">
        <w:t>overnments have a primary duty to protect the public interest. The RBC chapter in the OECD Policy Framework for Investment (PFI) is a useful reference for governments wishing to design and implement a st</w:t>
      </w:r>
      <w:r>
        <w:t xml:space="preserve">rong RBC policy framework (Box </w:t>
      </w:r>
      <w:r w:rsidR="00161CE5">
        <w:t>5</w:t>
      </w:r>
      <w:r w:rsidRPr="00115748">
        <w:t>.3).</w:t>
      </w:r>
      <w:r>
        <w:t xml:space="preserve"> RBC expectations could be included in investment promotion efforts and may help attract MNEs that are more inclined to source locally. The current EaP IPA websites do not mention environmental and social issues or corporate social responsibility. This is a missed opportunity to connect with investors that are keen on doing business responsibly and to brand EaP countries as a responsible business destinations. For example, companies from the European Union are important investors in EaP countries. RBC is a pillar of the EU trade strategy (EC, 2015), and, for some EU members, RBC expectations can be a legal requirement. Making an explicit link between RBC and investment promotion efforts can help fill the information gap for foreign investors, who may otherwise perceive the risk of operating in EaP countries to be higher than it otherwise is.</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04C887CF" w14:textId="77777777" w:rsidTr="00161CE5">
        <w:trPr>
          <w:jc w:val="center"/>
        </w:trPr>
        <w:tc>
          <w:tcPr>
            <w:tcW w:w="9309" w:type="dxa"/>
            <w:shd w:val="clear" w:color="auto" w:fill="E1E6EB"/>
          </w:tcPr>
          <w:p w14:paraId="1FD617E9" w14:textId="65F7D50A" w:rsidR="00F555E3" w:rsidRDefault="00F555E3" w:rsidP="00161CE5">
            <w:pPr>
              <w:pStyle w:val="Caption"/>
              <w:keepNext w:val="0"/>
            </w:pPr>
            <w:bookmarkStart w:id="150" w:name="_Toc31983234"/>
            <w:bookmarkStart w:id="151" w:name="_Toc31991353"/>
            <w:bookmarkStart w:id="152" w:name="_Toc33443351"/>
            <w:r>
              <w:t xml:space="preserve">Box </w:t>
            </w:r>
            <w:fldSimple w:instr=" STYLEREF 1 \s ">
              <w:r w:rsidR="00161CE5">
                <w:rPr>
                  <w:noProof/>
                </w:rPr>
                <w:t>5</w:t>
              </w:r>
            </w:fldSimple>
            <w:r>
              <w:t>.</w:t>
            </w:r>
            <w:r>
              <w:rPr>
                <w:noProof/>
              </w:rPr>
              <w:fldChar w:fldCharType="begin"/>
            </w:r>
            <w:r>
              <w:rPr>
                <w:noProof/>
              </w:rPr>
              <w:instrText xml:space="preserve"> SEQ Box \* ARABIC \s 1 </w:instrText>
            </w:r>
            <w:r>
              <w:rPr>
                <w:noProof/>
              </w:rPr>
              <w:fldChar w:fldCharType="separate"/>
            </w:r>
            <w:r w:rsidR="00161CE5">
              <w:rPr>
                <w:noProof/>
              </w:rPr>
              <w:t>3</w:t>
            </w:r>
            <w:r>
              <w:rPr>
                <w:noProof/>
              </w:rPr>
              <w:fldChar w:fldCharType="end"/>
            </w:r>
            <w:r>
              <w:t xml:space="preserve">. </w:t>
            </w:r>
            <w:r w:rsidRPr="005267B5">
              <w:t>Role of governments in promoting and enabling responsible business</w:t>
            </w:r>
            <w:bookmarkEnd w:id="150"/>
            <w:bookmarkEnd w:id="151"/>
            <w:bookmarkEnd w:id="152"/>
          </w:p>
          <w:p w14:paraId="73601870" w14:textId="77777777" w:rsidR="00F555E3" w:rsidRPr="005267B5" w:rsidRDefault="00F555E3" w:rsidP="00161CE5">
            <w:pPr>
              <w:pStyle w:val="Para0"/>
              <w:rPr>
                <w:sz w:val="20"/>
              </w:rPr>
            </w:pPr>
            <w:r w:rsidRPr="005267B5">
              <w:rPr>
                <w:sz w:val="20"/>
              </w:rPr>
              <w:t>According to the OECD Policy Framework for Investment (PFI), governments can promote and enable RBC in several ways:</w:t>
            </w:r>
          </w:p>
          <w:p w14:paraId="489675E0" w14:textId="065D07C9" w:rsidR="00F555E3" w:rsidRPr="000E3079" w:rsidRDefault="00F555E3" w:rsidP="000E3079">
            <w:pPr>
              <w:pStyle w:val="BulletedList"/>
              <w:rPr>
                <w:sz w:val="20"/>
                <w:szCs w:val="20"/>
              </w:rPr>
            </w:pPr>
            <w:r w:rsidRPr="000E3079">
              <w:rPr>
                <w:i/>
                <w:sz w:val="20"/>
                <w:szCs w:val="20"/>
              </w:rPr>
              <w:t>Regulating</w:t>
            </w:r>
            <w:r w:rsidRPr="000E3079">
              <w:rPr>
                <w:sz w:val="20"/>
                <w:szCs w:val="20"/>
              </w:rPr>
              <w:t xml:space="preserve"> - establishing and enforcing an adequate legal framework that protects the public interest and underpins RBC, and monitoring business performance and compliance</w:t>
            </w:r>
            <w:r w:rsidR="00267072">
              <w:rPr>
                <w:sz w:val="20"/>
                <w:szCs w:val="20"/>
              </w:rPr>
              <w:t>.</w:t>
            </w:r>
            <w:r w:rsidRPr="000E3079">
              <w:rPr>
                <w:sz w:val="20"/>
                <w:szCs w:val="20"/>
              </w:rPr>
              <w:t xml:space="preserve"> </w:t>
            </w:r>
          </w:p>
          <w:p w14:paraId="4F34EF83" w14:textId="1CDC8700" w:rsidR="00F555E3" w:rsidRPr="000E3079" w:rsidRDefault="00F555E3" w:rsidP="000E3079">
            <w:pPr>
              <w:pStyle w:val="BulletedList"/>
              <w:rPr>
                <w:sz w:val="20"/>
                <w:szCs w:val="20"/>
              </w:rPr>
            </w:pPr>
            <w:r w:rsidRPr="000E3079">
              <w:rPr>
                <w:i/>
                <w:sz w:val="20"/>
                <w:szCs w:val="20"/>
              </w:rPr>
              <w:t>Facilitating</w:t>
            </w:r>
            <w:r w:rsidRPr="000E3079">
              <w:rPr>
                <w:sz w:val="20"/>
                <w:szCs w:val="20"/>
              </w:rPr>
              <w:t xml:space="preserve"> - clearly communicating expectations on what constitutes RBC, providing guidance with respect to specific practices and enabling enterprises to meet those expectations</w:t>
            </w:r>
            <w:r w:rsidR="00267072">
              <w:rPr>
                <w:sz w:val="20"/>
                <w:szCs w:val="20"/>
              </w:rPr>
              <w:t>.</w:t>
            </w:r>
            <w:r w:rsidRPr="000E3079">
              <w:rPr>
                <w:sz w:val="20"/>
                <w:szCs w:val="20"/>
              </w:rPr>
              <w:t xml:space="preserve"> </w:t>
            </w:r>
          </w:p>
          <w:p w14:paraId="3CD545F6" w14:textId="28573D9E" w:rsidR="00F555E3" w:rsidRPr="000E3079" w:rsidRDefault="00F555E3" w:rsidP="000E3079">
            <w:pPr>
              <w:pStyle w:val="BulletedList"/>
              <w:rPr>
                <w:sz w:val="20"/>
                <w:szCs w:val="20"/>
              </w:rPr>
            </w:pPr>
            <w:r w:rsidRPr="000E3079">
              <w:rPr>
                <w:i/>
                <w:sz w:val="20"/>
                <w:szCs w:val="20"/>
              </w:rPr>
              <w:t>Co-operating</w:t>
            </w:r>
            <w:r w:rsidRPr="000E3079">
              <w:rPr>
                <w:sz w:val="20"/>
                <w:szCs w:val="20"/>
              </w:rPr>
              <w:t xml:space="preserve"> - working with stakeholders in the business community, workers’ organisations, civil society, general public, across internal government structures, as well as other governments to create synergies and establish coherence with regard to RBC</w:t>
            </w:r>
            <w:r w:rsidR="00267072">
              <w:rPr>
                <w:sz w:val="20"/>
                <w:szCs w:val="20"/>
              </w:rPr>
              <w:t>.</w:t>
            </w:r>
            <w:r w:rsidRPr="000E3079">
              <w:rPr>
                <w:sz w:val="20"/>
                <w:szCs w:val="20"/>
              </w:rPr>
              <w:t xml:space="preserve"> </w:t>
            </w:r>
          </w:p>
          <w:p w14:paraId="5CE9D23F" w14:textId="7467A407" w:rsidR="00F555E3" w:rsidRPr="000E3079" w:rsidRDefault="00F555E3" w:rsidP="000E3079">
            <w:pPr>
              <w:pStyle w:val="BulletedList"/>
              <w:rPr>
                <w:sz w:val="20"/>
                <w:szCs w:val="20"/>
              </w:rPr>
            </w:pPr>
            <w:r w:rsidRPr="000E3079">
              <w:rPr>
                <w:i/>
                <w:sz w:val="20"/>
                <w:szCs w:val="20"/>
              </w:rPr>
              <w:t>Promoting</w:t>
            </w:r>
            <w:r w:rsidRPr="000E3079">
              <w:rPr>
                <w:sz w:val="20"/>
                <w:szCs w:val="20"/>
              </w:rPr>
              <w:t xml:space="preserve"> - demonstrating support for best practices in RBC</w:t>
            </w:r>
            <w:r w:rsidR="00267072">
              <w:rPr>
                <w:sz w:val="20"/>
                <w:szCs w:val="20"/>
              </w:rPr>
              <w:t>.</w:t>
            </w:r>
            <w:r w:rsidRPr="000E3079">
              <w:rPr>
                <w:sz w:val="20"/>
                <w:szCs w:val="20"/>
              </w:rPr>
              <w:t xml:space="preserve"> </w:t>
            </w:r>
          </w:p>
          <w:p w14:paraId="11339999" w14:textId="77777777" w:rsidR="00F555E3" w:rsidRDefault="00F555E3" w:rsidP="000E3079">
            <w:pPr>
              <w:pStyle w:val="BulletedList"/>
            </w:pPr>
            <w:r w:rsidRPr="000E3079">
              <w:rPr>
                <w:i/>
                <w:sz w:val="20"/>
                <w:szCs w:val="20"/>
              </w:rPr>
              <w:t>Leading by example</w:t>
            </w:r>
            <w:r w:rsidRPr="000E3079">
              <w:rPr>
                <w:sz w:val="20"/>
                <w:szCs w:val="20"/>
              </w:rPr>
              <w:t xml:space="preserve"> - setting the example as an economic</w:t>
            </w:r>
            <w:r w:rsidRPr="005267B5">
              <w:t xml:space="preserve"> actor.</w:t>
            </w:r>
          </w:p>
          <w:p w14:paraId="03984CD7" w14:textId="77777777" w:rsidR="00F555E3" w:rsidRDefault="00F555E3" w:rsidP="00161CE5">
            <w:pPr>
              <w:pStyle w:val="Sourcenotes"/>
            </w:pPr>
            <w:r w:rsidRPr="00746639">
              <w:rPr>
                <w:i/>
              </w:rPr>
              <w:t>Source</w:t>
            </w:r>
            <w:r>
              <w:t>: OECD (2015a)</w:t>
            </w:r>
          </w:p>
        </w:tc>
      </w:tr>
    </w:tbl>
    <w:p w14:paraId="1C0ED06A" w14:textId="77777777" w:rsidR="00F555E3" w:rsidRDefault="00F555E3" w:rsidP="00F555E3">
      <w:pPr>
        <w:pStyle w:val="Heading3"/>
      </w:pPr>
      <w:r>
        <w:lastRenderedPageBreak/>
        <w:t xml:space="preserve">Promoting RBC in EaP countries: the role of the European Union </w:t>
      </w:r>
    </w:p>
    <w:p w14:paraId="7F5E3F88" w14:textId="12414DA1" w:rsidR="00F555E3" w:rsidRPr="00115748" w:rsidRDefault="00F555E3" w:rsidP="00F555E3">
      <w:pPr>
        <w:pStyle w:val="Heading3"/>
      </w:pPr>
      <w:r w:rsidRPr="00F27D48">
        <w:rPr>
          <w:rFonts w:eastAsiaTheme="minorHAnsi" w:cstheme="minorBidi"/>
          <w:b w:val="0"/>
          <w:i w:val="0"/>
          <w:sz w:val="22"/>
          <w:szCs w:val="22"/>
        </w:rPr>
        <w:t xml:space="preserve">The relations between the EaP countries and the EU, </w:t>
      </w:r>
      <w:r w:rsidR="00FD6A4E" w:rsidRPr="00F27D48">
        <w:rPr>
          <w:rFonts w:eastAsiaTheme="minorHAnsi" w:cstheme="minorBidi"/>
          <w:b w:val="0"/>
          <w:i w:val="0"/>
          <w:sz w:val="22"/>
          <w:szCs w:val="22"/>
        </w:rPr>
        <w:t>formali</w:t>
      </w:r>
      <w:r w:rsidR="00FD6A4E">
        <w:rPr>
          <w:rFonts w:eastAsiaTheme="minorHAnsi" w:cstheme="minorBidi"/>
          <w:b w:val="0"/>
          <w:i w:val="0"/>
          <w:sz w:val="22"/>
          <w:szCs w:val="22"/>
        </w:rPr>
        <w:t>s</w:t>
      </w:r>
      <w:r w:rsidR="00FD6A4E" w:rsidRPr="00F27D48">
        <w:rPr>
          <w:rFonts w:eastAsiaTheme="minorHAnsi" w:cstheme="minorBidi"/>
          <w:b w:val="0"/>
          <w:i w:val="0"/>
          <w:sz w:val="22"/>
          <w:szCs w:val="22"/>
        </w:rPr>
        <w:t xml:space="preserve">ed </w:t>
      </w:r>
      <w:r w:rsidRPr="00F27D48">
        <w:rPr>
          <w:rFonts w:eastAsiaTheme="minorHAnsi" w:cstheme="minorBidi"/>
          <w:b w:val="0"/>
          <w:i w:val="0"/>
          <w:sz w:val="22"/>
          <w:szCs w:val="22"/>
        </w:rPr>
        <w:t>for most countries through bilateral agreements, are relevant additional factors bearing upon the reform path which the countries have embarked into, including on RBC. The overall framework guiding those relations consists of: the Association Agreements, including a Deep and Comprehensive Free Trade Area, with Georgia, Moldova and Ukraine; the Comprehensive and Enhanced Partnership Agreement with Armenia; and the Partnership Priorities with Azerbaijan (negotiations on a new comprehensive agreement were launched in 2017). Negotiations over Partnership Priorities are under way with Belarus</w:t>
      </w:r>
      <w:r>
        <w:t>.</w:t>
      </w:r>
    </w:p>
    <w:p w14:paraId="5DB83A1E" w14:textId="77777777" w:rsidR="00F555E3" w:rsidRPr="00115748" w:rsidRDefault="00F555E3" w:rsidP="00F555E3">
      <w:pPr>
        <w:pStyle w:val="Para0"/>
      </w:pPr>
      <w:r w:rsidRPr="00115748">
        <w:t xml:space="preserve">EU Agreements commit signatory </w:t>
      </w:r>
      <w:r>
        <w:t>g</w:t>
      </w:r>
      <w:r w:rsidRPr="00115748">
        <w:t xml:space="preserve">overnments to a course of reforms to bring governmental, regulatory, and business practices in line with EU standards. Association Agreements between the EU and Georgia, Moldova and Ukraine, as well as the Partnership Agreement with Armenia, have explicit commitments on </w:t>
      </w:r>
      <w:r>
        <w:t>RBC</w:t>
      </w:r>
      <w:r w:rsidRPr="00115748">
        <w:t xml:space="preserve">, including explicit reference to the </w:t>
      </w:r>
      <w:r w:rsidRPr="00A725AF">
        <w:rPr>
          <w:i/>
        </w:rPr>
        <w:t>Guidelines</w:t>
      </w:r>
      <w:r w:rsidRPr="00115748">
        <w:t>. Article 352</w:t>
      </w:r>
      <w:r>
        <w:t xml:space="preserve"> of</w:t>
      </w:r>
      <w:r w:rsidRPr="00115748">
        <w:t xml:space="preserve"> the EU-Georgia Agreement states </w:t>
      </w:r>
      <w:r>
        <w:t>that</w:t>
      </w:r>
      <w:r w:rsidRPr="00115748">
        <w:t xml:space="preserve"> </w:t>
      </w:r>
      <w:r>
        <w:t xml:space="preserve">signatories </w:t>
      </w:r>
      <w:r w:rsidRPr="00115748">
        <w:t xml:space="preserve">“shall promote corporate social responsibility and accountability and encourage responsible business practices, such as those promoted by a number of international corporate social responsibility guidelines and especially the OECD Guidelines for Multinational Enterprises.” </w:t>
      </w:r>
    </w:p>
    <w:p w14:paraId="7F9A7885" w14:textId="77777777" w:rsidR="00F555E3" w:rsidRPr="00115748" w:rsidRDefault="00F555E3" w:rsidP="00F555E3">
      <w:pPr>
        <w:pStyle w:val="Para0"/>
      </w:pPr>
      <w:r w:rsidRPr="00115748">
        <w:t>The Agreements also include commitments on a range of policy areas that are relevant to RBC, such as human rights, labour rights, environmental governance, and the fight against corruption. On labour standards</w:t>
      </w:r>
      <w:r>
        <w:t>,</w:t>
      </w:r>
      <w:r w:rsidRPr="00115748">
        <w:t xml:space="preserve"> for instance, the Association Agreements with Georgia, Moldova and Ukraine reaffirm </w:t>
      </w:r>
      <w:r>
        <w:t>government</w:t>
      </w:r>
      <w:r w:rsidRPr="00115748">
        <w:t xml:space="preserve"> commitments to ensure that trade contributes to sustainable development, noting the beneficial role that core labour standards and decent work can have on economic efficiency, innovation and productivity. The </w:t>
      </w:r>
      <w:r>
        <w:t>countries</w:t>
      </w:r>
      <w:r w:rsidRPr="00115748">
        <w:t xml:space="preserve"> also commit to seek</w:t>
      </w:r>
      <w:r>
        <w:t>ing</w:t>
      </w:r>
      <w:r w:rsidRPr="00115748">
        <w:t xml:space="preserve"> greater policy coherence between trade policies and labour policies</w:t>
      </w:r>
      <w:r>
        <w:t>.</w:t>
      </w:r>
      <w:r w:rsidRPr="00115748">
        <w:t xml:space="preserve"> </w:t>
      </w:r>
      <w:r>
        <w:t>T</w:t>
      </w:r>
      <w:r w:rsidRPr="00115748">
        <w:t>he Agreement between the EU and Ukraine recogni</w:t>
      </w:r>
      <w:r>
        <w:t>s</w:t>
      </w:r>
      <w:r w:rsidRPr="00115748">
        <w:t xml:space="preserve">es that “the common values on which the European Union is built – namely democracy, respect for human rights and fundamental freedoms, and the rule of law – are also essential elements of this Agreement” (Preamble, EU-Ukraine Agreement), while it commits </w:t>
      </w:r>
      <w:r>
        <w:t>p</w:t>
      </w:r>
      <w:r w:rsidRPr="00115748">
        <w:t xml:space="preserve">arties to cooperate in the fight against crime and corruption (Article 22). These commitments </w:t>
      </w:r>
      <w:r>
        <w:t>have a bearing on</w:t>
      </w:r>
      <w:r w:rsidRPr="00115748">
        <w:t xml:space="preserve"> EU funding. For instance, the EU temporarily recalibrated its assistance to Moldova in 2018, due to </w:t>
      </w:r>
      <w:r>
        <w:t xml:space="preserve">a </w:t>
      </w:r>
      <w:r w:rsidRPr="00115748">
        <w:t>“backsliding in democratic principles and the rule of law” (</w:t>
      </w:r>
      <w:r>
        <w:t>EC</w:t>
      </w:r>
      <w:r w:rsidRPr="00115748">
        <w:t xml:space="preserve">, 2019). </w:t>
      </w:r>
    </w:p>
    <w:p w14:paraId="640E8E89" w14:textId="77777777" w:rsidR="00F555E3" w:rsidRDefault="00F555E3" w:rsidP="00F555E3">
      <w:pPr>
        <w:pStyle w:val="Heading2"/>
        <w:rPr>
          <w:rFonts w:hint="eastAsia"/>
        </w:rPr>
      </w:pPr>
      <w:bookmarkStart w:id="153" w:name="_Toc31228360"/>
      <w:bookmarkStart w:id="154" w:name="_Toc31983297"/>
      <w:bookmarkStart w:id="155" w:name="_Toc31991416"/>
      <w:bookmarkStart w:id="156" w:name="_Toc33443308"/>
      <w:r>
        <w:t>Efforts to promote RBC often remain too timid</w:t>
      </w:r>
      <w:bookmarkEnd w:id="153"/>
      <w:bookmarkEnd w:id="154"/>
      <w:bookmarkEnd w:id="155"/>
      <w:bookmarkEnd w:id="156"/>
    </w:p>
    <w:p w14:paraId="1D7F004D" w14:textId="77777777" w:rsidR="00F555E3" w:rsidRPr="007F7E50" w:rsidRDefault="00F555E3" w:rsidP="00F555E3">
      <w:pPr>
        <w:pStyle w:val="Para0"/>
      </w:pPr>
      <w:r w:rsidRPr="007F7E50">
        <w:t xml:space="preserve">RBC is still a relatively new topic in most of the </w:t>
      </w:r>
      <w:r>
        <w:t>EaP</w:t>
      </w:r>
      <w:r w:rsidRPr="007F7E50">
        <w:t xml:space="preserve"> countries, </w:t>
      </w:r>
      <w:r>
        <w:t>except</w:t>
      </w:r>
      <w:r w:rsidRPr="007F7E50">
        <w:t xml:space="preserve"> for Georgia and Ukraine where it has now emerged as an important issue. Ukraine’s adherence in 2017 to the OECD </w:t>
      </w:r>
      <w:r w:rsidRPr="00AB12BA">
        <w:rPr>
          <w:i/>
        </w:rPr>
        <w:t xml:space="preserve">Declaration on International Investment and Multinational Enterprises </w:t>
      </w:r>
      <w:r w:rsidRPr="00AB12BA">
        <w:t>(</w:t>
      </w:r>
      <w:r w:rsidRPr="007F7E50">
        <w:t>wh</w:t>
      </w:r>
      <w:r>
        <w:t xml:space="preserve">ich the </w:t>
      </w:r>
      <w:r w:rsidRPr="00AB12BA">
        <w:rPr>
          <w:i/>
        </w:rPr>
        <w:t>Guidelines</w:t>
      </w:r>
      <w:r>
        <w:t xml:space="preserve"> are part of)</w:t>
      </w:r>
      <w:r w:rsidRPr="007F7E50">
        <w:t xml:space="preserve"> played an important role in encouraging the design and implementation of RBC policies and initiatives in the country. </w:t>
      </w:r>
    </w:p>
    <w:p w14:paraId="2C3B5E58" w14:textId="77777777" w:rsidR="00F555E3" w:rsidRPr="007F7E50" w:rsidRDefault="00F555E3" w:rsidP="00F555E3">
      <w:pPr>
        <w:pStyle w:val="Heading3"/>
      </w:pPr>
      <w:r>
        <w:t>National action p</w:t>
      </w:r>
      <w:r w:rsidRPr="007F7E50">
        <w:t>lans</w:t>
      </w:r>
      <w:r>
        <w:t xml:space="preserve"> can help strengthen RBC</w:t>
      </w:r>
    </w:p>
    <w:p w14:paraId="7C9F1DAC" w14:textId="77777777" w:rsidR="00F555E3" w:rsidRDefault="00F555E3" w:rsidP="00F555E3">
      <w:pPr>
        <w:pStyle w:val="Para0"/>
      </w:pPr>
      <w:r w:rsidRPr="007F7E50">
        <w:t>An effective tool to promote RBC, as well as policy coherence and alignment on a number of topic</w:t>
      </w:r>
      <w:r>
        <w:t>s related to RBC, is through a n</w:t>
      </w:r>
      <w:r w:rsidRPr="00115748">
        <w:t xml:space="preserve">ational </w:t>
      </w:r>
      <w:r>
        <w:t>a</w:t>
      </w:r>
      <w:r w:rsidRPr="00115748">
        <w:t xml:space="preserve">ction </w:t>
      </w:r>
      <w:r>
        <w:t>p</w:t>
      </w:r>
      <w:r w:rsidRPr="00115748">
        <w:t>lan</w:t>
      </w:r>
      <w:r>
        <w:t xml:space="preserve"> (NAP)</w:t>
      </w:r>
      <w:r w:rsidRPr="007F7E50">
        <w:t xml:space="preserve">. Governments </w:t>
      </w:r>
      <w:r>
        <w:t>use</w:t>
      </w:r>
      <w:r w:rsidRPr="007F7E50">
        <w:t xml:space="preserve"> NAPs to highlight their policies on RBC and signal the need for future action. The UN has recommended </w:t>
      </w:r>
      <w:r>
        <w:t>that</w:t>
      </w:r>
      <w:r w:rsidRPr="007F7E50">
        <w:t xml:space="preserve"> all </w:t>
      </w:r>
      <w:r>
        <w:t>states</w:t>
      </w:r>
      <w:r w:rsidRPr="007F7E50">
        <w:t xml:space="preserve"> develop NAPs on business and human rights </w:t>
      </w:r>
      <w:r>
        <w:t>as part of their</w:t>
      </w:r>
      <w:r w:rsidRPr="007F7E50">
        <w:t xml:space="preserve"> responsibility to disseminate and implement the </w:t>
      </w:r>
      <w:r w:rsidRPr="003E7309">
        <w:rPr>
          <w:i/>
        </w:rPr>
        <w:t>UN Guiding Principles</w:t>
      </w:r>
      <w:r>
        <w:rPr>
          <w:i/>
        </w:rPr>
        <w:t xml:space="preserve"> on Business and Human Rights</w:t>
      </w:r>
      <w:r w:rsidRPr="007F7E50">
        <w:t xml:space="preserve">. The European Commission </w:t>
      </w:r>
      <w:r>
        <w:t xml:space="preserve">(EC) </w:t>
      </w:r>
      <w:r w:rsidRPr="007F7E50">
        <w:t xml:space="preserve">and the </w:t>
      </w:r>
      <w:r>
        <w:t>Council of Europe (CoE)</w:t>
      </w:r>
      <w:r w:rsidRPr="007F7E50">
        <w:t xml:space="preserve"> have </w:t>
      </w:r>
      <w:r w:rsidRPr="007F7E50">
        <w:lastRenderedPageBreak/>
        <w:t xml:space="preserve">also </w:t>
      </w:r>
      <w:r>
        <w:t>encouraged their respective m</w:t>
      </w:r>
      <w:r w:rsidRPr="007F7E50">
        <w:t>ember</w:t>
      </w:r>
      <w:r>
        <w:t>s</w:t>
      </w:r>
      <w:r w:rsidRPr="007F7E50">
        <w:t xml:space="preserve"> to NAPs</w:t>
      </w:r>
      <w:r w:rsidRPr="00DE534B">
        <w:t xml:space="preserve"> on BHR</w:t>
      </w:r>
      <w:r w:rsidRPr="007F7E50">
        <w:t xml:space="preserve">. </w:t>
      </w:r>
      <w:r w:rsidRPr="00DE534B">
        <w:t xml:space="preserve">A number of OECD governments, such as the United States and France, have broadened these efforts and included RBC issues such as environment and public procurement in their NAPs. </w:t>
      </w:r>
      <w:r w:rsidRPr="007F7E50">
        <w:t xml:space="preserve"> A</w:t>
      </w:r>
      <w:r>
        <w:t>s of January 2020, 23 countries</w:t>
      </w:r>
      <w:r w:rsidRPr="007F7E50">
        <w:t xml:space="preserve"> </w:t>
      </w:r>
      <w:r>
        <w:t>(</w:t>
      </w:r>
      <w:r w:rsidRPr="007F7E50">
        <w:t xml:space="preserve">20 of which are </w:t>
      </w:r>
      <w:r>
        <w:t>a</w:t>
      </w:r>
      <w:r w:rsidRPr="007F7E50">
        <w:t xml:space="preserve">dherents to the </w:t>
      </w:r>
      <w:r w:rsidRPr="005D6385">
        <w:rPr>
          <w:i/>
        </w:rPr>
        <w:t>Guidelines</w:t>
      </w:r>
      <w:r>
        <w:t>)</w:t>
      </w:r>
      <w:r w:rsidRPr="007F7E50">
        <w:t xml:space="preserve"> have adopted a NAP</w:t>
      </w:r>
      <w:r w:rsidRPr="00DE534B">
        <w:t xml:space="preserve"> on either RBC or BHR</w:t>
      </w:r>
      <w:r w:rsidRPr="007F7E50">
        <w:t xml:space="preserve">. </w:t>
      </w:r>
      <w:r>
        <w:t xml:space="preserve">Efforts to develop </w:t>
      </w:r>
      <w:r w:rsidRPr="007F7E50">
        <w:t>NAPs in</w:t>
      </w:r>
      <w:r>
        <w:t xml:space="preserve"> EaP countries remain timid</w:t>
      </w:r>
      <w:r w:rsidRPr="007F7E50">
        <w:t xml:space="preserve"> </w:t>
      </w:r>
      <w:r>
        <w:t>(</w:t>
      </w:r>
      <w:r w:rsidRPr="007F7E50">
        <w:t xml:space="preserve">Table </w:t>
      </w:r>
      <w:r>
        <w:t>5</w:t>
      </w:r>
      <w:r w:rsidRPr="007F7E50">
        <w:t>.1</w:t>
      </w:r>
      <w:r>
        <w:t>), with some progress observed in Georgia and Ukraine (</w:t>
      </w:r>
      <w:r w:rsidRPr="007F7E50">
        <w:t>Bo</w:t>
      </w:r>
      <w:r>
        <w:t>x 5</w:t>
      </w:r>
      <w:r w:rsidRPr="007F7E50">
        <w:t>.4</w:t>
      </w:r>
      <w:r>
        <w:t>)</w:t>
      </w:r>
      <w:r w:rsidRPr="007F7E50">
        <w:t>.</w:t>
      </w:r>
    </w:p>
    <w:p w14:paraId="7F42492A" w14:textId="53F4EB01" w:rsidR="00F555E3" w:rsidRDefault="00F555E3" w:rsidP="00F555E3">
      <w:pPr>
        <w:pStyle w:val="Caption"/>
      </w:pPr>
      <w:bookmarkStart w:id="157" w:name="_Toc31983268"/>
      <w:bookmarkStart w:id="158" w:name="_Toc31991387"/>
      <w:bookmarkStart w:id="159" w:name="_Toc33443320"/>
      <w:r>
        <w:t xml:space="preserve">Table </w:t>
      </w:r>
      <w:fldSimple w:instr=" STYLEREF 1 \s ">
        <w:r w:rsidR="00161CE5">
          <w:rPr>
            <w:noProof/>
          </w:rPr>
          <w:t>5</w:t>
        </w:r>
      </w:fldSimple>
      <w:r>
        <w:t>.</w:t>
      </w:r>
      <w:r>
        <w:rPr>
          <w:noProof/>
        </w:rPr>
        <w:fldChar w:fldCharType="begin"/>
      </w:r>
      <w:r>
        <w:rPr>
          <w:noProof/>
        </w:rPr>
        <w:instrText xml:space="preserve"> SEQ Table \* ARABIC \s 1 </w:instrText>
      </w:r>
      <w:r>
        <w:rPr>
          <w:noProof/>
        </w:rPr>
        <w:fldChar w:fldCharType="separate"/>
      </w:r>
      <w:r w:rsidR="00161CE5">
        <w:rPr>
          <w:noProof/>
        </w:rPr>
        <w:t>1</w:t>
      </w:r>
      <w:r>
        <w:rPr>
          <w:noProof/>
        </w:rPr>
        <w:fldChar w:fldCharType="end"/>
      </w:r>
      <w:r>
        <w:t>. NAPs on RBC/HBR in EaP countries</w:t>
      </w:r>
      <w:bookmarkEnd w:id="157"/>
      <w:bookmarkEnd w:id="158"/>
      <w:bookmarkEnd w:id="159"/>
    </w:p>
    <w:tbl>
      <w:tblPr>
        <w:tblStyle w:val="OECD"/>
        <w:tblW w:w="7938" w:type="dxa"/>
        <w:tblLook w:val="0420" w:firstRow="1" w:lastRow="0" w:firstColumn="0" w:lastColumn="0" w:noHBand="0" w:noVBand="1"/>
      </w:tblPr>
      <w:tblGrid>
        <w:gridCol w:w="1134"/>
        <w:gridCol w:w="3628"/>
        <w:gridCol w:w="3176"/>
      </w:tblGrid>
      <w:tr w:rsidR="00F555E3" w:rsidRPr="00454399" w14:paraId="2F24662D" w14:textId="77777777" w:rsidTr="00161CE5">
        <w:trPr>
          <w:cnfStyle w:val="100000000000" w:firstRow="1" w:lastRow="0" w:firstColumn="0" w:lastColumn="0" w:oddVBand="0" w:evenVBand="0" w:oddHBand="0" w:evenHBand="0" w:firstRowFirstColumn="0" w:firstRowLastColumn="0" w:lastRowFirstColumn="0" w:lastRowLastColumn="0"/>
        </w:trPr>
        <w:tc>
          <w:tcPr>
            <w:tcW w:w="1134" w:type="dxa"/>
            <w:tcBorders>
              <w:bottom w:val="single" w:sz="4" w:space="0" w:color="auto"/>
            </w:tcBorders>
          </w:tcPr>
          <w:p w14:paraId="2CFDCFDD" w14:textId="77777777" w:rsidR="00F555E3" w:rsidRPr="00454399" w:rsidRDefault="00F555E3" w:rsidP="00161CE5">
            <w:pPr>
              <w:pStyle w:val="TableColumn"/>
              <w:jc w:val="both"/>
            </w:pPr>
            <w:r>
              <w:t>Country</w:t>
            </w:r>
          </w:p>
        </w:tc>
        <w:tc>
          <w:tcPr>
            <w:tcW w:w="3628" w:type="dxa"/>
            <w:tcBorders>
              <w:bottom w:val="single" w:sz="4" w:space="0" w:color="auto"/>
            </w:tcBorders>
          </w:tcPr>
          <w:p w14:paraId="201C11A7" w14:textId="77777777" w:rsidR="00F555E3" w:rsidRPr="00454399" w:rsidRDefault="00F555E3" w:rsidP="00161CE5">
            <w:pPr>
              <w:pStyle w:val="TableColumn"/>
            </w:pPr>
            <w:r>
              <w:t>National action plan</w:t>
            </w:r>
          </w:p>
        </w:tc>
        <w:tc>
          <w:tcPr>
            <w:tcW w:w="3176" w:type="dxa"/>
            <w:tcBorders>
              <w:bottom w:val="single" w:sz="4" w:space="0" w:color="auto"/>
            </w:tcBorders>
          </w:tcPr>
          <w:p w14:paraId="6FDDE844" w14:textId="77777777" w:rsidR="00F555E3" w:rsidRPr="00454399" w:rsidRDefault="00F555E3" w:rsidP="00161CE5">
            <w:pPr>
              <w:pStyle w:val="TableColumn"/>
            </w:pPr>
            <w:r>
              <w:t>National baseline assessment</w:t>
            </w:r>
          </w:p>
        </w:tc>
      </w:tr>
      <w:tr w:rsidR="00F555E3" w:rsidRPr="00454399" w14:paraId="24FA5A0F" w14:textId="77777777" w:rsidTr="00161CE5">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auto"/>
            </w:tcBorders>
          </w:tcPr>
          <w:p w14:paraId="22708E5D" w14:textId="77777777" w:rsidR="00F555E3" w:rsidRPr="00454399" w:rsidRDefault="00F555E3" w:rsidP="00161CE5">
            <w:pPr>
              <w:pStyle w:val="TableRow"/>
            </w:pPr>
            <w:r w:rsidRPr="0050446F">
              <w:t>Armenia</w:t>
            </w:r>
          </w:p>
        </w:tc>
        <w:tc>
          <w:tcPr>
            <w:tcW w:w="3628" w:type="dxa"/>
            <w:tcBorders>
              <w:top w:val="single" w:sz="4" w:space="0" w:color="auto"/>
            </w:tcBorders>
          </w:tcPr>
          <w:p w14:paraId="53123A3C" w14:textId="77777777" w:rsidR="00F555E3" w:rsidRPr="00454399" w:rsidRDefault="00F555E3" w:rsidP="00161CE5">
            <w:pPr>
              <w:pStyle w:val="TableCell"/>
              <w:jc w:val="center"/>
            </w:pPr>
            <w:r>
              <w:t>None</w:t>
            </w:r>
          </w:p>
        </w:tc>
        <w:tc>
          <w:tcPr>
            <w:tcW w:w="3176" w:type="dxa"/>
            <w:tcBorders>
              <w:top w:val="single" w:sz="4" w:space="0" w:color="auto"/>
            </w:tcBorders>
          </w:tcPr>
          <w:p w14:paraId="7D50EF54" w14:textId="77777777" w:rsidR="00F555E3" w:rsidRPr="00454399" w:rsidRDefault="00F555E3" w:rsidP="00161CE5">
            <w:pPr>
              <w:pStyle w:val="TableCell"/>
              <w:jc w:val="center"/>
            </w:pPr>
            <w:r>
              <w:t>N</w:t>
            </w:r>
            <w:r w:rsidRPr="005D3081">
              <w:t>one</w:t>
            </w:r>
          </w:p>
        </w:tc>
      </w:tr>
      <w:tr w:rsidR="00F555E3" w:rsidRPr="00454399" w14:paraId="01967235" w14:textId="77777777" w:rsidTr="00161CE5">
        <w:trPr>
          <w:cnfStyle w:val="000000010000" w:firstRow="0" w:lastRow="0" w:firstColumn="0" w:lastColumn="0" w:oddVBand="0" w:evenVBand="0" w:oddHBand="0" w:evenHBand="1" w:firstRowFirstColumn="0" w:firstRowLastColumn="0" w:lastRowFirstColumn="0" w:lastRowLastColumn="0"/>
        </w:trPr>
        <w:tc>
          <w:tcPr>
            <w:tcW w:w="1134" w:type="dxa"/>
          </w:tcPr>
          <w:p w14:paraId="335DC4B2" w14:textId="77777777" w:rsidR="00F555E3" w:rsidRPr="00454399" w:rsidRDefault="00F555E3" w:rsidP="00161CE5">
            <w:pPr>
              <w:pStyle w:val="TableRow"/>
            </w:pPr>
            <w:r w:rsidRPr="0050446F">
              <w:t>Azerbaijan</w:t>
            </w:r>
          </w:p>
        </w:tc>
        <w:tc>
          <w:tcPr>
            <w:tcW w:w="3628" w:type="dxa"/>
          </w:tcPr>
          <w:p w14:paraId="2F4FB2F0" w14:textId="77777777" w:rsidR="00F555E3" w:rsidRPr="00454399" w:rsidRDefault="00F555E3" w:rsidP="00161CE5">
            <w:pPr>
              <w:pStyle w:val="TableCell"/>
              <w:jc w:val="center"/>
            </w:pPr>
            <w:r>
              <w:t>None</w:t>
            </w:r>
          </w:p>
        </w:tc>
        <w:tc>
          <w:tcPr>
            <w:tcW w:w="3176" w:type="dxa"/>
          </w:tcPr>
          <w:p w14:paraId="1F906599" w14:textId="77777777" w:rsidR="00F555E3" w:rsidRPr="00454399" w:rsidRDefault="00F555E3" w:rsidP="00161CE5">
            <w:pPr>
              <w:pStyle w:val="TableCell"/>
              <w:jc w:val="center"/>
            </w:pPr>
            <w:r>
              <w:t>N</w:t>
            </w:r>
            <w:r w:rsidRPr="005D3081">
              <w:t>one</w:t>
            </w:r>
          </w:p>
        </w:tc>
      </w:tr>
      <w:tr w:rsidR="00F555E3" w:rsidRPr="00454399" w14:paraId="35B34D6D" w14:textId="77777777" w:rsidTr="00161CE5">
        <w:trPr>
          <w:cnfStyle w:val="000000100000" w:firstRow="0" w:lastRow="0" w:firstColumn="0" w:lastColumn="0" w:oddVBand="0" w:evenVBand="0" w:oddHBand="1" w:evenHBand="0" w:firstRowFirstColumn="0" w:firstRowLastColumn="0" w:lastRowFirstColumn="0" w:lastRowLastColumn="0"/>
        </w:trPr>
        <w:tc>
          <w:tcPr>
            <w:tcW w:w="1134" w:type="dxa"/>
          </w:tcPr>
          <w:p w14:paraId="03A803A5" w14:textId="77777777" w:rsidR="00F555E3" w:rsidRPr="00454399" w:rsidRDefault="00F555E3" w:rsidP="00161CE5">
            <w:pPr>
              <w:pStyle w:val="TableRow"/>
            </w:pPr>
            <w:r w:rsidRPr="0050446F">
              <w:t>Belarus</w:t>
            </w:r>
          </w:p>
        </w:tc>
        <w:tc>
          <w:tcPr>
            <w:tcW w:w="3628" w:type="dxa"/>
          </w:tcPr>
          <w:p w14:paraId="5FA080BF" w14:textId="77777777" w:rsidR="00F555E3" w:rsidRPr="00454399" w:rsidRDefault="00F555E3" w:rsidP="00161CE5">
            <w:pPr>
              <w:pStyle w:val="TableCell"/>
              <w:jc w:val="center"/>
            </w:pPr>
            <w:r>
              <w:t>None</w:t>
            </w:r>
          </w:p>
        </w:tc>
        <w:tc>
          <w:tcPr>
            <w:tcW w:w="3176" w:type="dxa"/>
          </w:tcPr>
          <w:p w14:paraId="2B780061" w14:textId="77777777" w:rsidR="00F555E3" w:rsidRPr="00454399" w:rsidRDefault="00F555E3" w:rsidP="00161CE5">
            <w:pPr>
              <w:pStyle w:val="TableCell"/>
              <w:jc w:val="center"/>
            </w:pPr>
            <w:r>
              <w:t>N</w:t>
            </w:r>
            <w:r w:rsidRPr="005D3081">
              <w:t>one</w:t>
            </w:r>
          </w:p>
        </w:tc>
      </w:tr>
      <w:tr w:rsidR="00F555E3" w:rsidRPr="00454399" w14:paraId="75921C62" w14:textId="77777777" w:rsidTr="00161CE5">
        <w:trPr>
          <w:cnfStyle w:val="000000010000" w:firstRow="0" w:lastRow="0" w:firstColumn="0" w:lastColumn="0" w:oddVBand="0" w:evenVBand="0" w:oddHBand="0" w:evenHBand="1" w:firstRowFirstColumn="0" w:firstRowLastColumn="0" w:lastRowFirstColumn="0" w:lastRowLastColumn="0"/>
        </w:trPr>
        <w:tc>
          <w:tcPr>
            <w:tcW w:w="1134" w:type="dxa"/>
          </w:tcPr>
          <w:p w14:paraId="3AAE0D50" w14:textId="77777777" w:rsidR="00F555E3" w:rsidRPr="00454399" w:rsidRDefault="00F555E3" w:rsidP="00161CE5">
            <w:pPr>
              <w:pStyle w:val="TableRow"/>
            </w:pPr>
            <w:r w:rsidRPr="0050446F">
              <w:t>Georgia</w:t>
            </w:r>
          </w:p>
        </w:tc>
        <w:tc>
          <w:tcPr>
            <w:tcW w:w="3628" w:type="dxa"/>
          </w:tcPr>
          <w:p w14:paraId="4241912D" w14:textId="77777777" w:rsidR="00F555E3" w:rsidRPr="00454399" w:rsidRDefault="00F555E3" w:rsidP="00161CE5">
            <w:pPr>
              <w:pStyle w:val="TableCell"/>
              <w:jc w:val="center"/>
            </w:pPr>
            <w:r w:rsidRPr="0052758D">
              <w:t>Chapter on BHR in NAP on Human Rights 2018-2020</w:t>
            </w:r>
          </w:p>
        </w:tc>
        <w:tc>
          <w:tcPr>
            <w:tcW w:w="3176" w:type="dxa"/>
          </w:tcPr>
          <w:p w14:paraId="686B4064" w14:textId="77777777" w:rsidR="00F555E3" w:rsidRPr="00454399" w:rsidRDefault="00F555E3" w:rsidP="00161CE5">
            <w:pPr>
              <w:pStyle w:val="TableCell"/>
              <w:jc w:val="center"/>
            </w:pPr>
            <w:r w:rsidRPr="003A26EE">
              <w:t>Ombudsman in cooperation with civil society</w:t>
            </w:r>
          </w:p>
        </w:tc>
      </w:tr>
      <w:tr w:rsidR="00F555E3" w:rsidRPr="00454399" w14:paraId="5ACFFDD2" w14:textId="77777777" w:rsidTr="00161CE5">
        <w:trPr>
          <w:cnfStyle w:val="000000100000" w:firstRow="0" w:lastRow="0" w:firstColumn="0" w:lastColumn="0" w:oddVBand="0" w:evenVBand="0" w:oddHBand="1" w:evenHBand="0" w:firstRowFirstColumn="0" w:firstRowLastColumn="0" w:lastRowFirstColumn="0" w:lastRowLastColumn="0"/>
        </w:trPr>
        <w:tc>
          <w:tcPr>
            <w:tcW w:w="1134" w:type="dxa"/>
          </w:tcPr>
          <w:p w14:paraId="0157D690" w14:textId="77777777" w:rsidR="00F555E3" w:rsidRPr="0050446F" w:rsidRDefault="00F555E3" w:rsidP="00161CE5">
            <w:pPr>
              <w:pStyle w:val="TableRow"/>
            </w:pPr>
            <w:r>
              <w:t>Moldova</w:t>
            </w:r>
          </w:p>
        </w:tc>
        <w:tc>
          <w:tcPr>
            <w:tcW w:w="3628" w:type="dxa"/>
          </w:tcPr>
          <w:p w14:paraId="21CF08A3" w14:textId="77777777" w:rsidR="00F555E3" w:rsidRPr="00454399" w:rsidRDefault="00F555E3" w:rsidP="00161CE5">
            <w:pPr>
              <w:pStyle w:val="TableCell"/>
              <w:jc w:val="center"/>
            </w:pPr>
            <w:r>
              <w:t>None</w:t>
            </w:r>
          </w:p>
        </w:tc>
        <w:tc>
          <w:tcPr>
            <w:tcW w:w="3176" w:type="dxa"/>
          </w:tcPr>
          <w:p w14:paraId="1E8B2325" w14:textId="77777777" w:rsidR="00F555E3" w:rsidRPr="00454399" w:rsidRDefault="00F555E3" w:rsidP="00161CE5">
            <w:pPr>
              <w:pStyle w:val="TableCell"/>
              <w:jc w:val="center"/>
            </w:pPr>
            <w:r>
              <w:t>None</w:t>
            </w:r>
          </w:p>
        </w:tc>
      </w:tr>
      <w:tr w:rsidR="00F555E3" w:rsidRPr="00454399" w14:paraId="2F18ECC8" w14:textId="77777777" w:rsidTr="00161CE5">
        <w:trPr>
          <w:cnfStyle w:val="000000010000" w:firstRow="0" w:lastRow="0" w:firstColumn="0" w:lastColumn="0" w:oddVBand="0" w:evenVBand="0" w:oddHBand="0" w:evenHBand="1" w:firstRowFirstColumn="0" w:firstRowLastColumn="0" w:lastRowFirstColumn="0" w:lastRowLastColumn="0"/>
        </w:trPr>
        <w:tc>
          <w:tcPr>
            <w:tcW w:w="1134" w:type="dxa"/>
          </w:tcPr>
          <w:p w14:paraId="78494C65" w14:textId="77777777" w:rsidR="00F555E3" w:rsidRPr="00454399" w:rsidRDefault="00F555E3" w:rsidP="00161CE5">
            <w:pPr>
              <w:pStyle w:val="TableRow"/>
            </w:pPr>
            <w:r>
              <w:t>Ukraine</w:t>
            </w:r>
          </w:p>
        </w:tc>
        <w:tc>
          <w:tcPr>
            <w:tcW w:w="3628" w:type="dxa"/>
          </w:tcPr>
          <w:p w14:paraId="2F04C4D0" w14:textId="77777777" w:rsidR="00F555E3" w:rsidRPr="00454399" w:rsidRDefault="00F555E3" w:rsidP="00161CE5">
            <w:pPr>
              <w:pStyle w:val="TableCell"/>
              <w:jc w:val="center"/>
            </w:pPr>
            <w:r>
              <w:t xml:space="preserve">In the process of developing </w:t>
            </w:r>
            <w:r w:rsidRPr="0052758D">
              <w:t>NAP on BHR</w:t>
            </w:r>
          </w:p>
        </w:tc>
        <w:tc>
          <w:tcPr>
            <w:tcW w:w="3176" w:type="dxa"/>
          </w:tcPr>
          <w:p w14:paraId="64FF3ECB" w14:textId="77777777" w:rsidR="00F555E3" w:rsidRPr="00454399" w:rsidRDefault="00F555E3" w:rsidP="00161CE5">
            <w:pPr>
              <w:pStyle w:val="TableCell"/>
              <w:jc w:val="center"/>
            </w:pPr>
            <w:r>
              <w:t>U</w:t>
            </w:r>
            <w:r w:rsidRPr="003A26EE">
              <w:t>niversity mandated by the Ministry of Justice</w:t>
            </w:r>
          </w:p>
        </w:tc>
      </w:tr>
    </w:tbl>
    <w:p w14:paraId="6A4071DF" w14:textId="3472430F" w:rsidR="00F555E3" w:rsidRDefault="00F555E3" w:rsidP="00F555E3">
      <w:pPr>
        <w:pStyle w:val="Sourcenotes"/>
        <w:rPr>
          <w:lang w:val="fr-FR"/>
        </w:rPr>
      </w:pPr>
      <w:r w:rsidRPr="00823218">
        <w:rPr>
          <w:i/>
          <w:lang w:val="fr-FR"/>
        </w:rPr>
        <w:t>Source</w:t>
      </w:r>
      <w:r w:rsidRPr="00823218">
        <w:rPr>
          <w:lang w:val="fr-FR"/>
        </w:rPr>
        <w:t xml:space="preserve">: https://globalnaps.org; </w:t>
      </w:r>
      <w:r w:rsidR="00A97081" w:rsidRPr="00A97081">
        <w:rPr>
          <w:lang w:val="fr-FR"/>
        </w:rPr>
        <w:t>www.ohchr.org/EN/Issues/Business/Pages/NationalActionPlans.aspx</w:t>
      </w:r>
      <w:r w:rsidR="00A97081">
        <w:rPr>
          <w:lang w:val="fr-FR"/>
        </w:rPr>
        <w:t>.</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347F4E52" w14:textId="77777777" w:rsidTr="00161CE5">
        <w:trPr>
          <w:jc w:val="center"/>
        </w:trPr>
        <w:tc>
          <w:tcPr>
            <w:tcW w:w="9309" w:type="dxa"/>
            <w:shd w:val="clear" w:color="auto" w:fill="E1E6EB"/>
          </w:tcPr>
          <w:p w14:paraId="455D6136" w14:textId="5518A7AA" w:rsidR="00F555E3" w:rsidRDefault="00F555E3" w:rsidP="00161CE5">
            <w:pPr>
              <w:pStyle w:val="Caption"/>
            </w:pPr>
            <w:bookmarkStart w:id="160" w:name="_Toc31983235"/>
            <w:bookmarkStart w:id="161" w:name="_Toc31991354"/>
            <w:bookmarkStart w:id="162" w:name="_Toc33443352"/>
            <w:r>
              <w:t xml:space="preserve">Box </w:t>
            </w:r>
            <w:fldSimple w:instr=" STYLEREF 1 \s ">
              <w:r w:rsidR="00DC4D16">
                <w:rPr>
                  <w:noProof/>
                </w:rPr>
                <w:t>5</w:t>
              </w:r>
            </w:fldSimple>
            <w:r>
              <w:t>.</w:t>
            </w:r>
            <w:r>
              <w:rPr>
                <w:noProof/>
              </w:rPr>
              <w:fldChar w:fldCharType="begin"/>
            </w:r>
            <w:r>
              <w:rPr>
                <w:noProof/>
              </w:rPr>
              <w:instrText xml:space="preserve"> SEQ Box \* ARABIC \s 1 </w:instrText>
            </w:r>
            <w:r>
              <w:rPr>
                <w:noProof/>
              </w:rPr>
              <w:fldChar w:fldCharType="separate"/>
            </w:r>
            <w:r w:rsidR="00DC4D16">
              <w:rPr>
                <w:noProof/>
              </w:rPr>
              <w:t>4</w:t>
            </w:r>
            <w:r>
              <w:rPr>
                <w:noProof/>
              </w:rPr>
              <w:fldChar w:fldCharType="end"/>
            </w:r>
            <w:r>
              <w:t>. Progress toward NAPs: Georgia and Ukraine</w:t>
            </w:r>
            <w:bookmarkEnd w:id="160"/>
            <w:bookmarkEnd w:id="161"/>
            <w:bookmarkEnd w:id="162"/>
          </w:p>
          <w:p w14:paraId="2A672F5B" w14:textId="77777777" w:rsidR="00F555E3" w:rsidRDefault="00F555E3" w:rsidP="00161CE5">
            <w:pPr>
              <w:pStyle w:val="Para0"/>
              <w:keepNext/>
              <w:rPr>
                <w:sz w:val="20"/>
              </w:rPr>
            </w:pPr>
            <w:r w:rsidRPr="00ED04F8">
              <w:rPr>
                <w:sz w:val="20"/>
              </w:rPr>
              <w:t>In</w:t>
            </w:r>
            <w:r>
              <w:rPr>
                <w:b/>
                <w:sz w:val="20"/>
              </w:rPr>
              <w:t xml:space="preserve"> </w:t>
            </w:r>
            <w:r w:rsidRPr="00ED04F8">
              <w:rPr>
                <w:b/>
                <w:sz w:val="20"/>
              </w:rPr>
              <w:t>Georgia</w:t>
            </w:r>
            <w:r>
              <w:rPr>
                <w:sz w:val="20"/>
              </w:rPr>
              <w:t>, the government</w:t>
            </w:r>
            <w:r w:rsidRPr="00ED04F8">
              <w:rPr>
                <w:sz w:val="20"/>
              </w:rPr>
              <w:t xml:space="preserve"> had committed in its National Human Rights Action Plan (2016-2017) to develop an Action plan on Business and Human Rights, including the conduct of a national baseline survey. The Human Rights Secretariat, under the Prime minister’s office, initiated steps to conduct the national baseline survey, which was ultimately developed by the Ombudsman, with the support of the Danish Institute on Human Rights. A detailed National Baseline Study on business and human rights was published in early 2018. It has reportedly informed the drafting of ‘Chapter 25 on business and human rights’ in the National Action Plan on Human Rights 2018-2020, which was developed by the Government’s Human Rights Secretariat in conjunction with a range of Government ministries, following consultation with stakeholders. The NAP was adopted by Parliament in March 2018.</w:t>
            </w:r>
          </w:p>
          <w:p w14:paraId="53908E9F" w14:textId="77777777" w:rsidR="00F555E3" w:rsidRPr="00ED04F8" w:rsidRDefault="00F555E3" w:rsidP="00161CE5">
            <w:pPr>
              <w:pStyle w:val="Para0"/>
              <w:keepNext/>
              <w:rPr>
                <w:bCs/>
                <w:sz w:val="20"/>
              </w:rPr>
            </w:pPr>
            <w:r w:rsidRPr="00ED04F8">
              <w:rPr>
                <w:bCs/>
                <w:sz w:val="20"/>
              </w:rPr>
              <w:t>The business and human rights Chapter contains activities to raise awareness of RBC by business enterprises and other government institutions. Encouragingly it includes aims to strengthen whistle-blower protection, public procurement regulations, and human rights issues within public enterprises. However, the Chapter lacks specific information on other RBC issues potentially relevant to Georgia (such as due diligence, the extractive industry, or environmental impacts). The UN Working Group (2019) has also raised concerns over the slow pace of implementation and the lack of assigned adequate funds for it. Some awareness-raising activities on RBC, for government institutions, have nonetheless taken place.</w:t>
            </w:r>
          </w:p>
          <w:p w14:paraId="6BBC5E6C" w14:textId="77777777" w:rsidR="00F555E3" w:rsidRPr="00ED04F8" w:rsidRDefault="00F555E3" w:rsidP="00161CE5">
            <w:pPr>
              <w:pStyle w:val="Para0"/>
              <w:keepNext/>
              <w:rPr>
                <w:sz w:val="20"/>
              </w:rPr>
            </w:pPr>
            <w:r w:rsidRPr="00ED04F8">
              <w:rPr>
                <w:bCs/>
                <w:color w:val="000000" w:themeColor="text1"/>
                <w:sz w:val="20"/>
              </w:rPr>
              <w:t xml:space="preserve">In </w:t>
            </w:r>
            <w:r w:rsidRPr="00ED04F8">
              <w:rPr>
                <w:b/>
                <w:bCs/>
                <w:color w:val="000000" w:themeColor="text1"/>
                <w:sz w:val="20"/>
              </w:rPr>
              <w:t>Ukraine</w:t>
            </w:r>
            <w:r w:rsidRPr="00ED04F8">
              <w:rPr>
                <w:bCs/>
                <w:color w:val="000000" w:themeColor="text1"/>
                <w:sz w:val="20"/>
              </w:rPr>
              <w:t xml:space="preserve"> in </w:t>
            </w:r>
            <w:r w:rsidRPr="00ED04F8">
              <w:rPr>
                <w:bCs/>
                <w:sz w:val="20"/>
              </w:rPr>
              <w:t>2019, the government</w:t>
            </w:r>
            <w:r w:rsidRPr="00ED04F8">
              <w:rPr>
                <w:bCs/>
                <w:color w:val="000000" w:themeColor="text1"/>
                <w:sz w:val="20"/>
              </w:rPr>
              <w:t>, in cooperation with civil society partners, made notable efforts to strengthen regulations and coordination on RBC. In early 2019, the Ministry of</w:t>
            </w:r>
            <w:r w:rsidRPr="00ED04F8">
              <w:rPr>
                <w:color w:val="000000" w:themeColor="text1"/>
                <w:sz w:val="20"/>
              </w:rPr>
              <w:t xml:space="preserve"> Justice started a process to develop a self-standing National Action Plan on Business and Human Rights and published a detailed National Baseline Assessment on business and human rights in July 2019.</w:t>
            </w:r>
          </w:p>
        </w:tc>
      </w:tr>
    </w:tbl>
    <w:p w14:paraId="12EC67A6" w14:textId="77777777" w:rsidR="00F555E3" w:rsidRDefault="00F555E3" w:rsidP="00F555E3">
      <w:pPr>
        <w:pStyle w:val="Para0"/>
      </w:pPr>
    </w:p>
    <w:p w14:paraId="12510634" w14:textId="77777777" w:rsidR="00F555E3" w:rsidRPr="005D6385" w:rsidRDefault="00F555E3" w:rsidP="00F555E3">
      <w:pPr>
        <w:pStyle w:val="Para0"/>
        <w:rPr>
          <w:color w:val="000000" w:themeColor="text1"/>
        </w:rPr>
      </w:pPr>
      <w:r>
        <w:t>G</w:t>
      </w:r>
      <w:r w:rsidRPr="00115748">
        <w:t xml:space="preserve">overnments may </w:t>
      </w:r>
      <w:r>
        <w:t xml:space="preserve">incorporate RBC principles in development strategies or as </w:t>
      </w:r>
      <w:r w:rsidRPr="00115748">
        <w:t xml:space="preserve">provisions in </w:t>
      </w:r>
      <w:r>
        <w:t>legislation</w:t>
      </w:r>
      <w:r w:rsidRPr="00115748">
        <w:t xml:space="preserve"> to clarify </w:t>
      </w:r>
      <w:r>
        <w:t>what they expect from</w:t>
      </w:r>
      <w:r w:rsidRPr="00115748">
        <w:t xml:space="preserve"> businesses. The Ukrainian government has been working on a </w:t>
      </w:r>
      <w:r>
        <w:t xml:space="preserve">draft </w:t>
      </w:r>
      <w:r w:rsidRPr="00115748">
        <w:t xml:space="preserve">resolution </w:t>
      </w:r>
      <w:r>
        <w:t>on</w:t>
      </w:r>
      <w:r w:rsidRPr="00115748">
        <w:t xml:space="preserve"> </w:t>
      </w:r>
      <w:r>
        <w:t>promoting CSR, with revisions to the draft by the</w:t>
      </w:r>
      <w:r w:rsidRPr="00115748">
        <w:t xml:space="preserve"> Cabinet of Ministers in 2019 (OECD, 2019</w:t>
      </w:r>
      <w:r>
        <w:t>b</w:t>
      </w:r>
      <w:r w:rsidRPr="00115748">
        <w:t xml:space="preserve">). </w:t>
      </w:r>
      <w:r>
        <w:rPr>
          <w:bCs/>
        </w:rPr>
        <w:t>O</w:t>
      </w:r>
      <w:r w:rsidRPr="00115748">
        <w:rPr>
          <w:bCs/>
        </w:rPr>
        <w:t>ne of th</w:t>
      </w:r>
      <w:r>
        <w:rPr>
          <w:bCs/>
        </w:rPr>
        <w:t>e priority actions</w:t>
      </w:r>
      <w:r w:rsidRPr="00115748">
        <w:rPr>
          <w:bCs/>
        </w:rPr>
        <w:t xml:space="preserve"> of </w:t>
      </w:r>
      <w:r>
        <w:rPr>
          <w:bCs/>
        </w:rPr>
        <w:t>Georgia’s</w:t>
      </w:r>
      <w:r w:rsidRPr="00115748">
        <w:rPr>
          <w:bCs/>
        </w:rPr>
        <w:t xml:space="preserve"> 2016-2020 </w:t>
      </w:r>
      <w:r>
        <w:rPr>
          <w:bCs/>
        </w:rPr>
        <w:t>SME</w:t>
      </w:r>
      <w:r w:rsidRPr="00115748">
        <w:rPr>
          <w:bCs/>
        </w:rPr>
        <w:t xml:space="preserve"> Development Strategy is the promotion of </w:t>
      </w:r>
      <w:r>
        <w:rPr>
          <w:bCs/>
        </w:rPr>
        <w:t>RBC (Gov.</w:t>
      </w:r>
      <w:r w:rsidRPr="00115748">
        <w:rPr>
          <w:bCs/>
        </w:rPr>
        <w:t xml:space="preserve"> of Georgia, 2015)</w:t>
      </w:r>
      <w:r>
        <w:rPr>
          <w:bCs/>
        </w:rPr>
        <w:t xml:space="preserve">. </w:t>
      </w:r>
      <w:r>
        <w:rPr>
          <w:bCs/>
        </w:rPr>
        <w:lastRenderedPageBreak/>
        <w:t>I</w:t>
      </w:r>
      <w:r w:rsidRPr="005D6385">
        <w:rPr>
          <w:color w:val="000000" w:themeColor="text1"/>
        </w:rPr>
        <w:t>n 2011</w:t>
      </w:r>
      <w:r>
        <w:rPr>
          <w:color w:val="000000" w:themeColor="text1"/>
        </w:rPr>
        <w:t>,</w:t>
      </w:r>
      <w:r w:rsidRPr="005D6385">
        <w:rPr>
          <w:color w:val="000000" w:themeColor="text1"/>
        </w:rPr>
        <w:t xml:space="preserve"> </w:t>
      </w:r>
      <w:r>
        <w:rPr>
          <w:color w:val="000000" w:themeColor="text1"/>
        </w:rPr>
        <w:t>Azerbaijan adopted corporate governance s</w:t>
      </w:r>
      <w:r w:rsidRPr="005D6385">
        <w:rPr>
          <w:color w:val="000000" w:themeColor="text1"/>
        </w:rPr>
        <w:t xml:space="preserve">tandards </w:t>
      </w:r>
      <w:r>
        <w:rPr>
          <w:color w:val="000000" w:themeColor="text1"/>
        </w:rPr>
        <w:t xml:space="preserve">said to have been prepared </w:t>
      </w:r>
      <w:r w:rsidRPr="005D6385">
        <w:rPr>
          <w:color w:val="000000" w:themeColor="text1"/>
        </w:rPr>
        <w:t xml:space="preserve">with </w:t>
      </w:r>
      <w:r>
        <w:rPr>
          <w:color w:val="000000" w:themeColor="text1"/>
        </w:rPr>
        <w:t xml:space="preserve">reference to </w:t>
      </w:r>
      <w:r w:rsidRPr="005D6385">
        <w:rPr>
          <w:color w:val="000000" w:themeColor="text1"/>
        </w:rPr>
        <w:t>the OECD Principles on Corporate Governance</w:t>
      </w:r>
      <w:r>
        <w:rPr>
          <w:color w:val="000000" w:themeColor="text1"/>
        </w:rPr>
        <w:t xml:space="preserve">, which </w:t>
      </w:r>
      <w:r w:rsidRPr="005D6385">
        <w:rPr>
          <w:color w:val="000000" w:themeColor="text1"/>
        </w:rPr>
        <w:t>include recommendations that companies respect the rights of stakeholders (including workers and local communities) and disclose information on economic, environmental and social iss</w:t>
      </w:r>
      <w:r>
        <w:rPr>
          <w:color w:val="000000" w:themeColor="text1"/>
        </w:rPr>
        <w:t xml:space="preserve">ues of concern to stakeholders </w:t>
      </w:r>
      <w:r w:rsidRPr="005D6385">
        <w:rPr>
          <w:color w:val="000000" w:themeColor="text1"/>
        </w:rPr>
        <w:t>(Gov</w:t>
      </w:r>
      <w:r>
        <w:rPr>
          <w:color w:val="000000" w:themeColor="text1"/>
        </w:rPr>
        <w:t>.</w:t>
      </w:r>
      <w:r w:rsidRPr="005D6385">
        <w:rPr>
          <w:color w:val="000000" w:themeColor="text1"/>
        </w:rPr>
        <w:t xml:space="preserve"> of Azerbaijan, 2011</w:t>
      </w:r>
      <w:r w:rsidRPr="00115748">
        <w:rPr>
          <w:color w:val="000000" w:themeColor="text1"/>
        </w:rPr>
        <w:t>).</w:t>
      </w:r>
      <w:r w:rsidRPr="005D6385">
        <w:rPr>
          <w:color w:val="000000" w:themeColor="text1"/>
        </w:rPr>
        <w:t xml:space="preserve"> The standards </w:t>
      </w:r>
      <w:r>
        <w:rPr>
          <w:color w:val="000000" w:themeColor="text1"/>
        </w:rPr>
        <w:t>remain voluntary; reportedly they are not being</w:t>
      </w:r>
      <w:r w:rsidRPr="005D6385">
        <w:rPr>
          <w:color w:val="000000" w:themeColor="text1"/>
        </w:rPr>
        <w:t xml:space="preserve"> implemented by many companies (World Bank, 2017a).</w:t>
      </w:r>
    </w:p>
    <w:p w14:paraId="4967A386" w14:textId="173F881D" w:rsidR="00F555E3" w:rsidRDefault="00F555E3" w:rsidP="00F555E3">
      <w:pPr>
        <w:pStyle w:val="Para0"/>
      </w:pPr>
      <w:r>
        <w:t>For countries that have adhered to the Declaration – this is only the case of Ukraine among the six</w:t>
      </w:r>
      <w:r w:rsidR="00161CE5">
        <w:t xml:space="preserve"> EaP countries – </w:t>
      </w:r>
      <w:r w:rsidRPr="00115748">
        <w:t xml:space="preserve">National </w:t>
      </w:r>
      <w:r>
        <w:t>C</w:t>
      </w:r>
      <w:r w:rsidRPr="00115748">
        <w:t xml:space="preserve">ontact </w:t>
      </w:r>
      <w:r>
        <w:t>P</w:t>
      </w:r>
      <w:r w:rsidRPr="00115748">
        <w:t>oints (NCPs)</w:t>
      </w:r>
      <w:r>
        <w:t xml:space="preserve"> can play an important role in promoting and enabling RBC. NCPs</w:t>
      </w:r>
      <w:r w:rsidRPr="00115748">
        <w:t xml:space="preserve"> are agencies e</w:t>
      </w:r>
      <w:r>
        <w:t xml:space="preserve">stablished by governments, as a requirement for adherence to the </w:t>
      </w:r>
      <w:r>
        <w:rPr>
          <w:i/>
        </w:rPr>
        <w:t>Declaration</w:t>
      </w:r>
      <w:r>
        <w:t>, to</w:t>
      </w:r>
      <w:r w:rsidRPr="00115748">
        <w:t xml:space="preserve"> promote the </w:t>
      </w:r>
      <w:r w:rsidRPr="00187F66">
        <w:rPr>
          <w:i/>
        </w:rPr>
        <w:t>Guidelines</w:t>
      </w:r>
      <w:r w:rsidRPr="00115748">
        <w:t xml:space="preserve"> </w:t>
      </w:r>
      <w:r>
        <w:t>and related Due Diligence Guidance instruments, and</w:t>
      </w:r>
      <w:r w:rsidRPr="00115748">
        <w:t xml:space="preserve"> to handle cases as a non-judicial grievance mechanism. In 2018, </w:t>
      </w:r>
      <w:r>
        <w:t xml:space="preserve">upon </w:t>
      </w:r>
      <w:r w:rsidRPr="00115748">
        <w:t xml:space="preserve">its adherence to the </w:t>
      </w:r>
      <w:r>
        <w:rPr>
          <w:i/>
        </w:rPr>
        <w:t>Declaration</w:t>
      </w:r>
      <w:r w:rsidRPr="00115748">
        <w:t>,</w:t>
      </w:r>
      <w:r>
        <w:t xml:space="preserve"> </w:t>
      </w:r>
      <w:r w:rsidRPr="00115748">
        <w:t>Ukraine established a</w:t>
      </w:r>
      <w:r>
        <w:t>n NCP, which has</w:t>
      </w:r>
      <w:r w:rsidRPr="00115748">
        <w:t xml:space="preserve"> </w:t>
      </w:r>
      <w:r>
        <w:t>s</w:t>
      </w:r>
      <w:r w:rsidRPr="00115748">
        <w:t>ince engaged in numerous awareness-raising and promotional activities among government institutions and business</w:t>
      </w:r>
      <w:r>
        <w:t>es</w:t>
      </w:r>
      <w:r w:rsidRPr="00115748">
        <w:t>. An Interdepartmental Working Group on the Provision of NCP Activities by the Ukrainian authorities</w:t>
      </w:r>
      <w:r>
        <w:t>,</w:t>
      </w:r>
      <w:r w:rsidRPr="00115748">
        <w:t xml:space="preserve"> </w:t>
      </w:r>
      <w:r>
        <w:t xml:space="preserve">composed of </w:t>
      </w:r>
      <w:r w:rsidRPr="00115748">
        <w:t xml:space="preserve">representatives of state bodies, non-governmental organisations </w:t>
      </w:r>
      <w:r>
        <w:t xml:space="preserve">(NGOs), </w:t>
      </w:r>
      <w:r w:rsidRPr="00115748">
        <w:t>business</w:t>
      </w:r>
      <w:r>
        <w:t xml:space="preserve"> associations, and trade unions, </w:t>
      </w:r>
      <w:r w:rsidRPr="00115748">
        <w:t>was also established</w:t>
      </w:r>
      <w:r>
        <w:t>,</w:t>
      </w:r>
      <w:r w:rsidRPr="00115748">
        <w:t xml:space="preserve"> </w:t>
      </w:r>
      <w:r>
        <w:t xml:space="preserve">and has since </w:t>
      </w:r>
      <w:r w:rsidRPr="00115748">
        <w:t xml:space="preserve">revised the NCP’s procedure rules for handling specific instances </w:t>
      </w:r>
      <w:r>
        <w:t>(OECD, 2019)</w:t>
      </w:r>
      <w:r w:rsidRPr="00115748">
        <w:t>.</w:t>
      </w:r>
      <w:r>
        <w:t xml:space="preserve"> As of February 2020, </w:t>
      </w:r>
      <w:r w:rsidRPr="00DE534B">
        <w:t>no case ha</w:t>
      </w:r>
      <w:r>
        <w:t>d</w:t>
      </w:r>
      <w:r w:rsidRPr="00DE534B">
        <w:t xml:space="preserve"> been submitted to the NCP</w:t>
      </w:r>
      <w:r>
        <w:t>.</w:t>
      </w:r>
    </w:p>
    <w:p w14:paraId="27F93315" w14:textId="77777777" w:rsidR="00F555E3" w:rsidRPr="00115748" w:rsidRDefault="00F555E3" w:rsidP="00F555E3">
      <w:pPr>
        <w:pStyle w:val="Heading3"/>
      </w:pPr>
      <w:r>
        <w:t>Governments should implement RBC in their own economic activities</w:t>
      </w:r>
    </w:p>
    <w:p w14:paraId="1E297995" w14:textId="77777777" w:rsidR="00F555E3" w:rsidRPr="007A503D" w:rsidRDefault="00F555E3" w:rsidP="00F555E3">
      <w:pPr>
        <w:pStyle w:val="Para0"/>
      </w:pPr>
      <w:r w:rsidRPr="00051C6C">
        <w:t xml:space="preserve">The </w:t>
      </w:r>
      <w:r>
        <w:t>s</w:t>
      </w:r>
      <w:r w:rsidRPr="00051C6C">
        <w:t xml:space="preserve">tate as an economic actor (e.g. employer, procurer, shareholder, or through the enterprises it owns or controls) is an issue of significance for the RBC agenda.  Governments are expected to not merely behave responsibly when performing a commercial role, but to exemplify RBC in their own role within the economy. This is a question of policy coherence as well as credibility and legitimacy, as the </w:t>
      </w:r>
      <w:r>
        <w:t>s</w:t>
      </w:r>
      <w:r w:rsidRPr="00051C6C">
        <w:t xml:space="preserve">tate should not ask less of companies that are closely associated with it than it asks of private businesses. </w:t>
      </w:r>
    </w:p>
    <w:p w14:paraId="382A1183" w14:textId="77777777" w:rsidR="00F555E3" w:rsidRDefault="00F555E3" w:rsidP="00F555E3">
      <w:pPr>
        <w:pStyle w:val="Para0"/>
      </w:pPr>
      <w:r w:rsidRPr="00051C6C">
        <w:t>Public procurement plays a significant role in the national economies of the six surveyed countries, and therefore constitutes a powerful policy instrument, which, if used strategically, can help pursue broader socio-economic and environmental policy objectives. Public procurement policies and processes offer</w:t>
      </w:r>
      <w:r>
        <w:t xml:space="preserve"> an important avenue for g</w:t>
      </w:r>
      <w:r w:rsidRPr="00051C6C">
        <w:t>overnments to incentiv</w:t>
      </w:r>
      <w:r>
        <w:t>ize RBC</w:t>
      </w:r>
      <w:r w:rsidRPr="00051C6C">
        <w:t xml:space="preserve">. While governments in the region have not formally addressed public procurement in this light yet, commitments were made by Georgia in its NAP on </w:t>
      </w:r>
      <w:r>
        <w:t>Human R</w:t>
      </w:r>
      <w:r w:rsidRPr="00051C6C">
        <w:t>ights to “seek best international practice about human rights protection issues during state procurement processes” (Government of Georgia, 2018), and progress was made in Ukraine in terms of transparency and governance of public procurement (Government of Ukraine, 2019). As governments reform their procurement policies, they should consider incorporating RBC criteria in them.</w:t>
      </w:r>
    </w:p>
    <w:p w14:paraId="40EE93E6" w14:textId="77777777" w:rsidR="00F555E3" w:rsidRDefault="00F555E3" w:rsidP="00F555E3">
      <w:pPr>
        <w:pStyle w:val="Para0"/>
      </w:pPr>
      <w:r w:rsidRPr="00051C6C">
        <w:t xml:space="preserve">SOEs, </w:t>
      </w:r>
      <w:r>
        <w:t>with the e</w:t>
      </w:r>
      <w:r w:rsidRPr="00C823F1">
        <w:t>xcept</w:t>
      </w:r>
      <w:r>
        <w:t>ion</w:t>
      </w:r>
      <w:r w:rsidRPr="00C823F1">
        <w:t xml:space="preserve"> </w:t>
      </w:r>
      <w:r>
        <w:t>of</w:t>
      </w:r>
      <w:r w:rsidRPr="00C823F1">
        <w:t xml:space="preserve"> Armenia and Georgia</w:t>
      </w:r>
      <w:r>
        <w:t xml:space="preserve">, </w:t>
      </w:r>
      <w:r w:rsidRPr="00C823F1">
        <w:t xml:space="preserve">still </w:t>
      </w:r>
      <w:r>
        <w:t>dominate the economies of EaP countries. In Belarus, enterprises controlled by the state account for about half of total employment and value-added in the economy (IMF, 2019). Despite privatis</w:t>
      </w:r>
      <w:r w:rsidRPr="00C823F1">
        <w:t xml:space="preserve">ation </w:t>
      </w:r>
      <w:r>
        <w:t>efforts in</w:t>
      </w:r>
      <w:r w:rsidRPr="00C823F1">
        <w:t xml:space="preserve"> Moldova</w:t>
      </w:r>
      <w:r>
        <w:t>, SOE</w:t>
      </w:r>
      <w:r w:rsidRPr="00C823F1">
        <w:t xml:space="preserve"> assets </w:t>
      </w:r>
      <w:r>
        <w:t>account for more than 32% of GDP</w:t>
      </w:r>
      <w:r w:rsidRPr="00FD6160">
        <w:rPr>
          <w:vertAlign w:val="superscript"/>
        </w:rPr>
        <w:t xml:space="preserve"> </w:t>
      </w:r>
      <w:r w:rsidRPr="00C823F1">
        <w:t xml:space="preserve">and approximately 10% of the corporate sector’s assets. SOEs in Azerbaijan generate </w:t>
      </w:r>
      <w:r>
        <w:t>more than 45% of GDP, with t</w:t>
      </w:r>
      <w:r w:rsidRPr="00C823F1">
        <w:t xml:space="preserve">he largest SOE </w:t>
      </w:r>
      <w:r>
        <w:t xml:space="preserve">– the </w:t>
      </w:r>
      <w:r w:rsidRPr="00C823F1">
        <w:t>State Oil Company of Azerbaijan (SOC</w:t>
      </w:r>
      <w:r>
        <w:t xml:space="preserve">AR) – contributing approximately </w:t>
      </w:r>
      <w:r w:rsidRPr="00C823F1">
        <w:t>40% of GD</w:t>
      </w:r>
      <w:r>
        <w:t>P, while privatis</w:t>
      </w:r>
      <w:r w:rsidRPr="00C823F1">
        <w:t xml:space="preserve">ation efforts focus on small </w:t>
      </w:r>
      <w:r>
        <w:t>SOEs</w:t>
      </w:r>
      <w:r w:rsidRPr="00C823F1">
        <w:t xml:space="preserve"> (World Bank, 2017a). </w:t>
      </w:r>
    </w:p>
    <w:p w14:paraId="1BACB912" w14:textId="77777777" w:rsidR="00F555E3" w:rsidRPr="00115748" w:rsidRDefault="00F555E3" w:rsidP="00F555E3">
      <w:pPr>
        <w:pStyle w:val="Para0"/>
      </w:pPr>
      <w:r>
        <w:t xml:space="preserve">Ensuring that SOEs operate in accordance with good governance practices and RBC principles and standards is fundamental to convey political commitment to RBC while guaranteeing their positive contribution to society. The countries under survey should </w:t>
      </w:r>
      <w:r>
        <w:lastRenderedPageBreak/>
        <w:t xml:space="preserve">consider strengthening RBC considerations in policies that apply to SOEs. </w:t>
      </w:r>
      <w:r w:rsidRPr="009E2EA5">
        <w:t>This is all the more important as</w:t>
      </w:r>
      <w:r w:rsidRPr="00051C6C">
        <w:t xml:space="preserve"> like any private enterprise, SOEs may have adverse impacts on a range of human rights, social and environmental issues and other areas relevant to RBC. Likely impacts of SOEs in the region, reflecting those by their private sector peers and reported by NGOs and trade unions, include environmental and health impacts, health and safety issues, treatment of workers and freedom of association, and communication with potentially affected stakeholders (see below sections on human rights and employment and labour relations). </w:t>
      </w:r>
      <w:r w:rsidRPr="009E2EA5">
        <w:t xml:space="preserve"> </w:t>
      </w:r>
      <w:r>
        <w:t xml:space="preserve">Governments in the region </w:t>
      </w:r>
      <w:r w:rsidRPr="00B02901">
        <w:t>could</w:t>
      </w:r>
      <w:r>
        <w:t>, as a</w:t>
      </w:r>
      <w:r w:rsidRPr="00B02901">
        <w:t xml:space="preserve"> first </w:t>
      </w:r>
      <w:r>
        <w:t xml:space="preserve">step, </w:t>
      </w:r>
      <w:r w:rsidRPr="00B02901">
        <w:t>consider communicating, in a c</w:t>
      </w:r>
      <w:r>
        <w:t xml:space="preserve">lear and transparent manner, </w:t>
      </w:r>
      <w:r w:rsidRPr="00B02901">
        <w:t xml:space="preserve">the RBC policies that </w:t>
      </w:r>
      <w:r>
        <w:t xml:space="preserve">their SOEs have in place. </w:t>
      </w:r>
      <w:r w:rsidRPr="00B02901">
        <w:t xml:space="preserve">The </w:t>
      </w:r>
      <w:r w:rsidRPr="00A725AF">
        <w:rPr>
          <w:i/>
        </w:rPr>
        <w:t>Guidelines</w:t>
      </w:r>
      <w:r w:rsidRPr="00B02901">
        <w:t>, together with the OECD Guidelines on</w:t>
      </w:r>
      <w:r>
        <w:t xml:space="preserve"> Corporate Governance of State-O</w:t>
      </w:r>
      <w:r w:rsidRPr="00B02901">
        <w:t>wned Enterprises (</w:t>
      </w:r>
      <w:r>
        <w:t>the</w:t>
      </w:r>
      <w:r w:rsidRPr="00B02901">
        <w:t xml:space="preserve"> </w:t>
      </w:r>
      <w:r w:rsidRPr="00A725AF">
        <w:rPr>
          <w:i/>
        </w:rPr>
        <w:t>SOE Guidelines</w:t>
      </w:r>
      <w:r w:rsidRPr="00B02901">
        <w:t xml:space="preserve">) and the </w:t>
      </w:r>
      <w:r w:rsidRPr="00A725AF">
        <w:rPr>
          <w:i/>
        </w:rPr>
        <w:t>UN Guiding Principles</w:t>
      </w:r>
      <w:r w:rsidRPr="00B02901">
        <w:t>, provide a comprehensive framework for addr</w:t>
      </w:r>
      <w:r>
        <w:t>essing RBC aspects in SOEs.</w:t>
      </w:r>
      <w:r w:rsidRPr="00B02901">
        <w:t xml:space="preserve"> </w:t>
      </w:r>
      <w:r>
        <w:t>G</w:t>
      </w:r>
      <w:r w:rsidRPr="00C74D3A">
        <w:t xml:space="preserve">iven Ukraine’s set target to comprehensively reform its SOE sector, this presents an opportunity for the government to align its ownership model with </w:t>
      </w:r>
      <w:r>
        <w:t>international instruments and</w:t>
      </w:r>
      <w:r w:rsidRPr="00C74D3A">
        <w:t xml:space="preserve"> to incorporate</w:t>
      </w:r>
      <w:r>
        <w:t xml:space="preserve"> expectations the s</w:t>
      </w:r>
      <w:r w:rsidRPr="00C74D3A">
        <w:t>tate has with respect to sustainability and RBC by SOEs.</w:t>
      </w:r>
    </w:p>
    <w:p w14:paraId="4C44AB33" w14:textId="77777777" w:rsidR="00F555E3" w:rsidRDefault="00F555E3" w:rsidP="00F555E3">
      <w:pPr>
        <w:pStyle w:val="Heading3"/>
      </w:pPr>
      <w:r>
        <w:t>Awareness and understanding of RBC is growing in Ukraine and Georgia</w:t>
      </w:r>
    </w:p>
    <w:p w14:paraId="01689E32" w14:textId="77777777" w:rsidR="00F555E3" w:rsidRPr="00115748" w:rsidRDefault="00F555E3" w:rsidP="00F555E3">
      <w:pPr>
        <w:pStyle w:val="Para0"/>
      </w:pPr>
      <w:r>
        <w:t>Awareness raising</w:t>
      </w:r>
      <w:r w:rsidRPr="00115748">
        <w:t xml:space="preserve"> </w:t>
      </w:r>
      <w:r>
        <w:t xml:space="preserve">initiatives are another important channel for government, in collaboration with civil society, to advance the RBC agenda. </w:t>
      </w:r>
      <w:r w:rsidRPr="00115748">
        <w:t>In Ukraine and Georgia government and civil society have undertaken collective actions to raise awareness</w:t>
      </w:r>
      <w:r>
        <w:t xml:space="preserve"> on RBC issues</w:t>
      </w:r>
      <w:r w:rsidRPr="00115748">
        <w:t xml:space="preserve"> </w:t>
      </w:r>
      <w:r>
        <w:t>among</w:t>
      </w:r>
      <w:r w:rsidRPr="00115748">
        <w:t xml:space="preserve"> business and the public at large. In the other four countries, the level of awareness and </w:t>
      </w:r>
      <w:r>
        <w:t>understanding of RBC remains more limited</w:t>
      </w:r>
      <w:r w:rsidRPr="00115748">
        <w:t xml:space="preserve">. </w:t>
      </w:r>
    </w:p>
    <w:p w14:paraId="25898F66" w14:textId="77777777" w:rsidR="00F555E3" w:rsidRPr="00150B5D" w:rsidRDefault="00F555E3" w:rsidP="00F555E3">
      <w:pPr>
        <w:pStyle w:val="Para0"/>
        <w:rPr>
          <w:color w:val="000000" w:themeColor="text1"/>
        </w:rPr>
      </w:pPr>
      <w:r w:rsidRPr="00115748">
        <w:t xml:space="preserve">In Ukraine, notable efforts </w:t>
      </w:r>
      <w:r>
        <w:t xml:space="preserve">to raise awareness </w:t>
      </w:r>
      <w:r w:rsidRPr="00115748">
        <w:t xml:space="preserve">include the ongoing promotional activities by Ukraine’s </w:t>
      </w:r>
      <w:r>
        <w:t xml:space="preserve">NCP, NGOs </w:t>
      </w:r>
      <w:r w:rsidRPr="00115748">
        <w:t xml:space="preserve">and academia. </w:t>
      </w:r>
      <w:r>
        <w:t>I</w:t>
      </w:r>
      <w:r w:rsidRPr="00115748">
        <w:t xml:space="preserve">n the context of follow-ups to Ukraine’s adherence to </w:t>
      </w:r>
      <w:r>
        <w:t xml:space="preserve">the </w:t>
      </w:r>
      <w:r w:rsidRPr="00444836">
        <w:rPr>
          <w:i/>
        </w:rPr>
        <w:t>Declaration</w:t>
      </w:r>
      <w:r w:rsidRPr="00115748">
        <w:t xml:space="preserve">, </w:t>
      </w:r>
      <w:r>
        <w:t xml:space="preserve">the NCP reported that a number of </w:t>
      </w:r>
      <w:r w:rsidRPr="00115748">
        <w:t xml:space="preserve">RBC fora and training workshops </w:t>
      </w:r>
      <w:r>
        <w:t>were held</w:t>
      </w:r>
      <w:r w:rsidRPr="00115748">
        <w:t xml:space="preserve">. Surveys conducted by </w:t>
      </w:r>
      <w:r>
        <w:t>the</w:t>
      </w:r>
      <w:r w:rsidRPr="00115748">
        <w:t xml:space="preserve"> NCP reveal an increase in business awareness of RBC and a cooperative and positive attitude towards the NCP and the </w:t>
      </w:r>
      <w:r w:rsidRPr="00150B5D">
        <w:rPr>
          <w:i/>
        </w:rPr>
        <w:t>Guidelines</w:t>
      </w:r>
      <w:r w:rsidRPr="00115748">
        <w:t xml:space="preserve">. In 2018, CSR Development conducted studies </w:t>
      </w:r>
      <w:r>
        <w:t>that</w:t>
      </w:r>
      <w:r w:rsidRPr="00115748">
        <w:t xml:space="preserve"> revealed that 83% of </w:t>
      </w:r>
      <w:r>
        <w:t xml:space="preserve">surveyed </w:t>
      </w:r>
      <w:r w:rsidRPr="00115748">
        <w:t xml:space="preserve">companies </w:t>
      </w:r>
      <w:r w:rsidRPr="00150B5D">
        <w:rPr>
          <w:color w:val="000000" w:themeColor="text1"/>
        </w:rPr>
        <w:t>implement a CSR policy strategy (OECD, 2018b). The UN Global Compact Network</w:t>
      </w:r>
      <w:r>
        <w:rPr>
          <w:color w:val="000000" w:themeColor="text1"/>
        </w:rPr>
        <w:t xml:space="preserve"> was </w:t>
      </w:r>
      <w:r w:rsidRPr="00150B5D">
        <w:rPr>
          <w:color w:val="000000" w:themeColor="text1"/>
        </w:rPr>
        <w:t xml:space="preserve">launched </w:t>
      </w:r>
      <w:r>
        <w:rPr>
          <w:color w:val="000000" w:themeColor="text1"/>
        </w:rPr>
        <w:t>locally</w:t>
      </w:r>
      <w:r w:rsidRPr="00150B5D">
        <w:rPr>
          <w:color w:val="000000" w:themeColor="text1"/>
        </w:rPr>
        <w:t xml:space="preserve"> </w:t>
      </w:r>
      <w:r>
        <w:rPr>
          <w:color w:val="000000" w:themeColor="text1"/>
        </w:rPr>
        <w:t xml:space="preserve">in </w:t>
      </w:r>
      <w:r w:rsidRPr="00150B5D">
        <w:rPr>
          <w:color w:val="000000" w:themeColor="text1"/>
        </w:rPr>
        <w:t>2013</w:t>
      </w:r>
      <w:r>
        <w:rPr>
          <w:color w:val="000000" w:themeColor="text1"/>
        </w:rPr>
        <w:t xml:space="preserve"> and, at the beginning of 2020 counted</w:t>
      </w:r>
      <w:r w:rsidRPr="00150B5D">
        <w:rPr>
          <w:color w:val="000000" w:themeColor="text1"/>
        </w:rPr>
        <w:t xml:space="preserve"> </w:t>
      </w:r>
      <w:r w:rsidRPr="00115748">
        <w:rPr>
          <w:color w:val="000000" w:themeColor="text1"/>
        </w:rPr>
        <w:t>6</w:t>
      </w:r>
      <w:r>
        <w:rPr>
          <w:color w:val="000000" w:themeColor="text1"/>
        </w:rPr>
        <w:t>2</w:t>
      </w:r>
      <w:r w:rsidRPr="00150B5D">
        <w:rPr>
          <w:color w:val="000000" w:themeColor="text1"/>
        </w:rPr>
        <w:t xml:space="preserve"> participants. </w:t>
      </w:r>
    </w:p>
    <w:p w14:paraId="294F0E7B" w14:textId="77777777" w:rsidR="00F555E3" w:rsidRPr="00150B5D" w:rsidRDefault="00F555E3" w:rsidP="00F555E3">
      <w:pPr>
        <w:pStyle w:val="Para0"/>
        <w:rPr>
          <w:color w:val="000000" w:themeColor="text1"/>
        </w:rPr>
      </w:pPr>
      <w:r w:rsidRPr="00150B5D">
        <w:rPr>
          <w:color w:val="000000" w:themeColor="text1"/>
        </w:rPr>
        <w:t>Awareness and understanding of RBC is also growing in Georgia</w:t>
      </w:r>
      <w:r>
        <w:rPr>
          <w:color w:val="000000" w:themeColor="text1"/>
        </w:rPr>
        <w:t xml:space="preserve"> (OECD, 2016d)</w:t>
      </w:r>
      <w:r w:rsidRPr="00150B5D">
        <w:rPr>
          <w:color w:val="000000" w:themeColor="text1"/>
        </w:rPr>
        <w:t xml:space="preserve">. </w:t>
      </w:r>
      <w:r>
        <w:rPr>
          <w:color w:val="000000" w:themeColor="text1"/>
        </w:rPr>
        <w:t>The</w:t>
      </w:r>
      <w:r w:rsidRPr="00150B5D">
        <w:rPr>
          <w:color w:val="000000" w:themeColor="text1"/>
        </w:rPr>
        <w:t xml:space="preserve"> American Chamber of Commerce </w:t>
      </w:r>
      <w:r>
        <w:rPr>
          <w:color w:val="000000" w:themeColor="text1"/>
        </w:rPr>
        <w:t xml:space="preserve">(AmCham) </w:t>
      </w:r>
      <w:r w:rsidRPr="00150B5D">
        <w:rPr>
          <w:color w:val="000000" w:themeColor="text1"/>
        </w:rPr>
        <w:t>and the Global Compact Network (</w:t>
      </w:r>
      <w:r>
        <w:rPr>
          <w:color w:val="000000" w:themeColor="text1"/>
        </w:rPr>
        <w:t>launched</w:t>
      </w:r>
      <w:r w:rsidRPr="00150B5D">
        <w:rPr>
          <w:color w:val="000000" w:themeColor="text1"/>
        </w:rPr>
        <w:t xml:space="preserve"> in 2016 </w:t>
      </w:r>
      <w:r>
        <w:rPr>
          <w:color w:val="000000" w:themeColor="text1"/>
        </w:rPr>
        <w:t>and</w:t>
      </w:r>
      <w:r w:rsidRPr="00115748">
        <w:rPr>
          <w:color w:val="000000" w:themeColor="text1"/>
        </w:rPr>
        <w:t xml:space="preserve"> </w:t>
      </w:r>
      <w:r>
        <w:rPr>
          <w:color w:val="000000" w:themeColor="text1"/>
        </w:rPr>
        <w:t>with</w:t>
      </w:r>
      <w:r w:rsidRPr="00150B5D">
        <w:rPr>
          <w:color w:val="000000" w:themeColor="text1"/>
        </w:rPr>
        <w:t xml:space="preserve"> 34 </w:t>
      </w:r>
      <w:r>
        <w:rPr>
          <w:color w:val="000000" w:themeColor="text1"/>
        </w:rPr>
        <w:t xml:space="preserve">local </w:t>
      </w:r>
      <w:r w:rsidRPr="00150B5D">
        <w:rPr>
          <w:color w:val="000000" w:themeColor="text1"/>
        </w:rPr>
        <w:t>participants</w:t>
      </w:r>
      <w:r>
        <w:rPr>
          <w:color w:val="000000" w:themeColor="text1"/>
        </w:rPr>
        <w:t xml:space="preserve"> in early 2020</w:t>
      </w:r>
      <w:r w:rsidRPr="00115748">
        <w:rPr>
          <w:color w:val="000000" w:themeColor="text1"/>
        </w:rPr>
        <w:t xml:space="preserve">) </w:t>
      </w:r>
      <w:r>
        <w:rPr>
          <w:color w:val="000000" w:themeColor="text1"/>
        </w:rPr>
        <w:t>h</w:t>
      </w:r>
      <w:r w:rsidRPr="00D02376">
        <w:rPr>
          <w:color w:val="000000" w:themeColor="text1"/>
        </w:rPr>
        <w:t xml:space="preserve">elp companies and </w:t>
      </w:r>
      <w:r>
        <w:rPr>
          <w:color w:val="000000" w:themeColor="text1"/>
        </w:rPr>
        <w:t>NGOs</w:t>
      </w:r>
      <w:r w:rsidRPr="00D02376">
        <w:rPr>
          <w:color w:val="000000" w:themeColor="text1"/>
        </w:rPr>
        <w:t xml:space="preserve"> understand what </w:t>
      </w:r>
      <w:r>
        <w:rPr>
          <w:color w:val="000000" w:themeColor="text1"/>
        </w:rPr>
        <w:t xml:space="preserve">RBC </w:t>
      </w:r>
      <w:r w:rsidRPr="00D02376">
        <w:rPr>
          <w:color w:val="000000" w:themeColor="text1"/>
        </w:rPr>
        <w:t>means</w:t>
      </w:r>
      <w:r w:rsidRPr="00150B5D">
        <w:rPr>
          <w:color w:val="000000" w:themeColor="text1"/>
        </w:rPr>
        <w:t xml:space="preserve">. Although Georgia is not a member of the Extractive Industries Transparency Initiative (EITI), some work has reportedly been done by </w:t>
      </w:r>
      <w:r>
        <w:rPr>
          <w:color w:val="000000" w:themeColor="text1"/>
        </w:rPr>
        <w:t>foreign</w:t>
      </w:r>
      <w:r w:rsidRPr="00150B5D">
        <w:rPr>
          <w:color w:val="000000" w:themeColor="text1"/>
        </w:rPr>
        <w:t xml:space="preserve"> chambers, the </w:t>
      </w:r>
      <w:r>
        <w:rPr>
          <w:color w:val="000000" w:themeColor="text1"/>
        </w:rPr>
        <w:t>ombudsman,</w:t>
      </w:r>
      <w:r w:rsidRPr="00150B5D">
        <w:rPr>
          <w:color w:val="000000" w:themeColor="text1"/>
        </w:rPr>
        <w:t xml:space="preserve"> and trade unions to promote RBC in the extractive sector</w:t>
      </w:r>
      <w:r>
        <w:rPr>
          <w:color w:val="000000" w:themeColor="text1"/>
        </w:rPr>
        <w:t xml:space="preserve">. </w:t>
      </w:r>
      <w:r w:rsidRPr="00150B5D">
        <w:rPr>
          <w:color w:val="000000" w:themeColor="text1"/>
        </w:rPr>
        <w:t xml:space="preserve">In addition, UN </w:t>
      </w:r>
      <w:r w:rsidRPr="00115748">
        <w:rPr>
          <w:color w:val="000000" w:themeColor="text1"/>
        </w:rPr>
        <w:t>Women</w:t>
      </w:r>
      <w:r w:rsidRPr="00150B5D">
        <w:rPr>
          <w:color w:val="000000" w:themeColor="text1"/>
        </w:rPr>
        <w:t xml:space="preserve"> promote the Women</w:t>
      </w:r>
      <w:r>
        <w:rPr>
          <w:color w:val="000000" w:themeColor="text1"/>
        </w:rPr>
        <w:t>’s Empowerment Principles</w:t>
      </w:r>
      <w:r w:rsidRPr="00150B5D">
        <w:rPr>
          <w:color w:val="000000" w:themeColor="text1"/>
        </w:rPr>
        <w:t xml:space="preserve">, </w:t>
      </w:r>
      <w:r>
        <w:rPr>
          <w:color w:val="000000" w:themeColor="text1"/>
        </w:rPr>
        <w:t xml:space="preserve">which </w:t>
      </w:r>
      <w:r w:rsidRPr="00115748">
        <w:rPr>
          <w:color w:val="000000" w:themeColor="text1"/>
        </w:rPr>
        <w:t>offer</w:t>
      </w:r>
      <w:r w:rsidRPr="00150B5D">
        <w:rPr>
          <w:color w:val="000000" w:themeColor="text1"/>
        </w:rPr>
        <w:t xml:space="preserve"> guidance to business on how to promote gender equality and women’s empowerment in the workplace, marketplace and community</w:t>
      </w:r>
      <w:r>
        <w:rPr>
          <w:color w:val="000000" w:themeColor="text1"/>
        </w:rPr>
        <w:t>, and to which 43 local companies were signatories as of late 2019 (UN Women, 2019)</w:t>
      </w:r>
      <w:r w:rsidRPr="00150B5D">
        <w:rPr>
          <w:color w:val="000000" w:themeColor="text1"/>
        </w:rPr>
        <w:t xml:space="preserve">. </w:t>
      </w:r>
    </w:p>
    <w:p w14:paraId="58EB3C2B" w14:textId="77777777" w:rsidR="00F555E3" w:rsidRDefault="00F555E3" w:rsidP="00F555E3">
      <w:pPr>
        <w:pStyle w:val="Para0"/>
        <w:rPr>
          <w:color w:val="4F81BD" w:themeColor="accent1"/>
        </w:rPr>
      </w:pPr>
      <w:r w:rsidRPr="00115748">
        <w:t xml:space="preserve">In Armenia, Azerbaijan, Belarus and Moldova, awareness of RBC among local companies is </w:t>
      </w:r>
      <w:r>
        <w:t>more limited</w:t>
      </w:r>
      <w:r w:rsidRPr="00115748">
        <w:t xml:space="preserve"> (</w:t>
      </w:r>
      <w:r>
        <w:t>United States</w:t>
      </w:r>
      <w:r w:rsidRPr="00115748">
        <w:t xml:space="preserve">, 2019). </w:t>
      </w:r>
      <w:r>
        <w:t>In Azerbaijan, AmCham has established a committee on sustainable development and corporate impact, although further information on its activities is not publicly available.</w:t>
      </w:r>
      <w:r>
        <w:rPr>
          <w:rStyle w:val="FootnoteReference"/>
          <w:color w:val="000000" w:themeColor="text1"/>
        </w:rPr>
        <w:footnoteReference w:id="4"/>
      </w:r>
      <w:r w:rsidRPr="00115748">
        <w:t xml:space="preserve"> </w:t>
      </w:r>
      <w:r>
        <w:t>T</w:t>
      </w:r>
      <w:r w:rsidRPr="00115748">
        <w:t xml:space="preserve">he </w:t>
      </w:r>
      <w:r>
        <w:t>human rights o</w:t>
      </w:r>
      <w:r w:rsidRPr="00115748">
        <w:t xml:space="preserve">mbudsman </w:t>
      </w:r>
      <w:r>
        <w:t>ha</w:t>
      </w:r>
      <w:r w:rsidRPr="00115748">
        <w:t xml:space="preserve">s been raising awareness among government institutions and civil society on business and human rights </w:t>
      </w:r>
      <w:r w:rsidRPr="00115748">
        <w:lastRenderedPageBreak/>
        <w:t>issues for several years now</w:t>
      </w:r>
      <w:r>
        <w:t xml:space="preserve"> (</w:t>
      </w:r>
      <w:r>
        <w:rPr>
          <w:rFonts w:eastAsia="SimSun"/>
          <w:sz w:val="20"/>
          <w:szCs w:val="20"/>
        </w:rPr>
        <w:t>OHCHR</w:t>
      </w:r>
      <w:r w:rsidRPr="00BA656D">
        <w:rPr>
          <w:rFonts w:eastAsia="SimSun"/>
          <w:sz w:val="20"/>
          <w:szCs w:val="20"/>
        </w:rPr>
        <w:t>, 2015</w:t>
      </w:r>
      <w:r>
        <w:rPr>
          <w:rFonts w:eastAsia="SimSun"/>
          <w:sz w:val="20"/>
          <w:szCs w:val="20"/>
        </w:rPr>
        <w:t>a</w:t>
      </w:r>
      <w:r>
        <w:t>). The</w:t>
      </w:r>
      <w:r w:rsidRPr="00115748">
        <w:t xml:space="preserve"> Global Compact </w:t>
      </w:r>
      <w:r>
        <w:t>n</w:t>
      </w:r>
      <w:r w:rsidRPr="00115748">
        <w:t xml:space="preserve">etwork is active in Belarus with 26 </w:t>
      </w:r>
      <w:r>
        <w:t xml:space="preserve">local </w:t>
      </w:r>
      <w:r w:rsidRPr="00115748">
        <w:t xml:space="preserve">participants. </w:t>
      </w:r>
      <w:r>
        <w:t xml:space="preserve">No </w:t>
      </w:r>
      <w:r w:rsidRPr="00115748">
        <w:t>UN Global Compact network exists in Armenia and Moldova</w:t>
      </w:r>
      <w:r>
        <w:t xml:space="preserve">. By contrast in those four countries, </w:t>
      </w:r>
      <w:r w:rsidRPr="00115748">
        <w:t xml:space="preserve">civil society </w:t>
      </w:r>
      <w:r>
        <w:t xml:space="preserve">is </w:t>
      </w:r>
      <w:r w:rsidRPr="00115748">
        <w:t xml:space="preserve">increasingly </w:t>
      </w:r>
      <w:r>
        <w:t>playing a role in</w:t>
      </w:r>
      <w:r w:rsidRPr="00115748">
        <w:t xml:space="preserve"> raising RBC-related issues, </w:t>
      </w:r>
      <w:r>
        <w:t xml:space="preserve">particularly </w:t>
      </w:r>
      <w:r w:rsidRPr="00115748">
        <w:t>in relat</w:t>
      </w:r>
      <w:r>
        <w:t>ion to corruption, transparency</w:t>
      </w:r>
      <w:r w:rsidRPr="00115748">
        <w:t xml:space="preserve"> </w:t>
      </w:r>
      <w:r>
        <w:t xml:space="preserve">and </w:t>
      </w:r>
      <w:r w:rsidRPr="00115748">
        <w:t>specific business operations</w:t>
      </w:r>
      <w:r w:rsidRPr="00115748">
        <w:rPr>
          <w:color w:val="4F81BD" w:themeColor="accent1"/>
        </w:rPr>
        <w:t>.</w:t>
      </w:r>
    </w:p>
    <w:p w14:paraId="537017A6" w14:textId="77777777" w:rsidR="00F555E3" w:rsidRDefault="00F555E3" w:rsidP="00F555E3">
      <w:pPr>
        <w:pStyle w:val="Heading2"/>
        <w:rPr>
          <w:rFonts w:ascii="Times New Roman" w:hAnsi="Times New Roman" w:cs="Times New Roman"/>
          <w:szCs w:val="24"/>
        </w:rPr>
      </w:pPr>
      <w:bookmarkStart w:id="163" w:name="_Toc31228361"/>
      <w:bookmarkStart w:id="164" w:name="_Toc31983298"/>
      <w:bookmarkStart w:id="165" w:name="_Toc31991417"/>
      <w:bookmarkStart w:id="166" w:name="_Toc33443309"/>
      <w:r>
        <w:rPr>
          <w:rFonts w:ascii="Times New Roman" w:hAnsi="Times New Roman" w:cs="Times New Roman"/>
          <w:szCs w:val="24"/>
        </w:rPr>
        <w:t>EaP countries face challenges in enforcing RBC practices</w:t>
      </w:r>
      <w:bookmarkEnd w:id="163"/>
      <w:bookmarkEnd w:id="164"/>
      <w:bookmarkEnd w:id="165"/>
      <w:bookmarkEnd w:id="166"/>
    </w:p>
    <w:p w14:paraId="0E480B2E" w14:textId="77777777" w:rsidR="00F555E3" w:rsidRDefault="00F555E3" w:rsidP="00F555E3">
      <w:pPr>
        <w:pStyle w:val="Para0"/>
      </w:pPr>
      <w:r>
        <w:t>Countries in the region face a number of challenges in implementing RBC policies. Across the board,</w:t>
      </w:r>
      <w:r w:rsidRPr="00115748">
        <w:t xml:space="preserve"> </w:t>
      </w:r>
      <w:r>
        <w:t>t</w:t>
      </w:r>
      <w:r w:rsidRPr="00522D95">
        <w:t>he in</w:t>
      </w:r>
      <w:r>
        <w:t>dependence of the judiciary is a</w:t>
      </w:r>
      <w:r w:rsidRPr="00522D95">
        <w:t xml:space="preserve"> crucial foundation </w:t>
      </w:r>
      <w:r>
        <w:t>of law enforcement that affects investment</w:t>
      </w:r>
      <w:r w:rsidRPr="00522D95">
        <w:t>, as business enterprises and the public need a reliable an</w:t>
      </w:r>
      <w:r>
        <w:t>d</w:t>
      </w:r>
      <w:r w:rsidRPr="00522D95">
        <w:t xml:space="preserve"> impartial mechanism for resolving disputes, whether labour, commercial, environmental or otherwise, as well</w:t>
      </w:r>
      <w:r>
        <w:t xml:space="preserve"> as for combatting corruption. </w:t>
      </w:r>
      <w:r w:rsidRPr="0031011D">
        <w:t xml:space="preserve">Access to remedy is an essential part of the </w:t>
      </w:r>
      <w:r>
        <w:t>st</w:t>
      </w:r>
      <w:r w:rsidRPr="0031011D">
        <w:t>ate duty to protect against business-related adverse impacts. States are expected to take appropriate steps to ensure, through judicial, administrative, legislative or other appropriate means, that when such abuses oc</w:t>
      </w:r>
      <w:r>
        <w:t>cur within their territory and/</w:t>
      </w:r>
      <w:r w:rsidRPr="0031011D">
        <w:t xml:space="preserve">or jurisdiction those affected have access to effective remedy.  </w:t>
      </w:r>
    </w:p>
    <w:p w14:paraId="7CE1AF4F" w14:textId="77777777" w:rsidR="00F555E3" w:rsidRDefault="00F555E3" w:rsidP="00F555E3">
      <w:pPr>
        <w:pStyle w:val="Para0"/>
      </w:pPr>
      <w:r>
        <w:rPr>
          <w:color w:val="000000" w:themeColor="text1"/>
        </w:rPr>
        <w:t>Although most EaP countries have a history of reforming their judiciary, ensuring t</w:t>
      </w:r>
      <w:r w:rsidRPr="00115748">
        <w:rPr>
          <w:color w:val="000000" w:themeColor="text1"/>
        </w:rPr>
        <w:t xml:space="preserve">he </w:t>
      </w:r>
      <w:r>
        <w:rPr>
          <w:color w:val="000000" w:themeColor="text1"/>
        </w:rPr>
        <w:t xml:space="preserve">integrity and professionalism of the judicial system has remained a challenge for many of them. Weaknesses in the judicial system persist in many if not all countries. For example, in </w:t>
      </w:r>
      <w:r w:rsidRPr="00115748">
        <w:rPr>
          <w:color w:val="000000" w:themeColor="text1"/>
        </w:rPr>
        <w:t xml:space="preserve">Azerbaijan, Belarus and Moldova, </w:t>
      </w:r>
      <w:r>
        <w:rPr>
          <w:color w:val="000000" w:themeColor="text1"/>
        </w:rPr>
        <w:t>according</w:t>
      </w:r>
      <w:r w:rsidRPr="004E6313">
        <w:rPr>
          <w:color w:val="000000" w:themeColor="text1"/>
        </w:rPr>
        <w:t xml:space="preserve"> to </w:t>
      </w:r>
      <w:r>
        <w:rPr>
          <w:color w:val="000000" w:themeColor="text1"/>
        </w:rPr>
        <w:t xml:space="preserve">publicly </w:t>
      </w:r>
      <w:r w:rsidRPr="00115748">
        <w:rPr>
          <w:color w:val="000000" w:themeColor="text1"/>
        </w:rPr>
        <w:t>available reports, the courts</w:t>
      </w:r>
      <w:r>
        <w:rPr>
          <w:color w:val="000000" w:themeColor="text1"/>
        </w:rPr>
        <w:t xml:space="preserve"> face</w:t>
      </w:r>
      <w:r w:rsidRPr="00115748">
        <w:rPr>
          <w:color w:val="000000" w:themeColor="text1"/>
        </w:rPr>
        <w:t xml:space="preserve"> </w:t>
      </w:r>
      <w:r>
        <w:rPr>
          <w:color w:val="000000" w:themeColor="text1"/>
        </w:rPr>
        <w:t>undue</w:t>
      </w:r>
      <w:r w:rsidRPr="00115748">
        <w:rPr>
          <w:color w:val="000000" w:themeColor="text1"/>
        </w:rPr>
        <w:t xml:space="preserve"> political influence</w:t>
      </w:r>
      <w:r>
        <w:rPr>
          <w:color w:val="000000" w:themeColor="text1"/>
        </w:rPr>
        <w:t xml:space="preserve">. In </w:t>
      </w:r>
      <w:r w:rsidRPr="00115748">
        <w:rPr>
          <w:color w:val="000000" w:themeColor="text1"/>
        </w:rPr>
        <w:t>Arm</w:t>
      </w:r>
      <w:r w:rsidRPr="00115748">
        <w:t xml:space="preserve">enia, </w:t>
      </w:r>
      <w:r>
        <w:t xml:space="preserve">in order to defuse concerns about the lack of impartiality of the judiciary and guide its reform agenda, the government recently developed </w:t>
      </w:r>
      <w:r w:rsidRPr="00115748">
        <w:t xml:space="preserve">a draft </w:t>
      </w:r>
      <w:r>
        <w:t>strategy on l</w:t>
      </w:r>
      <w:r w:rsidRPr="00115748">
        <w:t xml:space="preserve">egal and </w:t>
      </w:r>
      <w:r>
        <w:t>judicial r</w:t>
      </w:r>
      <w:r w:rsidRPr="00115748">
        <w:t>eform for 2019-2023 (</w:t>
      </w:r>
      <w:r>
        <w:t>United States</w:t>
      </w:r>
      <w:r w:rsidRPr="00115748">
        <w:t xml:space="preserve">, 2019; </w:t>
      </w:r>
      <w:r w:rsidRPr="00B5743D">
        <w:t>OHCHR</w:t>
      </w:r>
      <w:r w:rsidRPr="00115748">
        <w:t>, 2018</w:t>
      </w:r>
      <w:r>
        <w:t>).</w:t>
      </w:r>
    </w:p>
    <w:p w14:paraId="790F7477" w14:textId="77777777" w:rsidR="00F555E3" w:rsidRDefault="00F555E3" w:rsidP="00F555E3">
      <w:pPr>
        <w:pStyle w:val="Para0"/>
      </w:pPr>
      <w:r>
        <w:t>Beyond judiciary independence, there remain significant opportunities for strengthening implementation of RBC policies related to the respect of human rights by both governments and businesses, with respect to business impact on environment, social dialogue on labour and gender issues, and public and corporate integrity.</w:t>
      </w:r>
    </w:p>
    <w:p w14:paraId="60F3E25A" w14:textId="77777777" w:rsidR="00F555E3" w:rsidRDefault="00F555E3" w:rsidP="00F555E3">
      <w:pPr>
        <w:pStyle w:val="Heading3"/>
      </w:pPr>
      <w:r>
        <w:t>I</w:t>
      </w:r>
      <w:r w:rsidRPr="00115748">
        <w:t xml:space="preserve">mplementation of international human rights commitments </w:t>
      </w:r>
      <w:r>
        <w:t>is</w:t>
      </w:r>
      <w:r w:rsidRPr="00115748">
        <w:t xml:space="preserve"> a work in progress</w:t>
      </w:r>
    </w:p>
    <w:p w14:paraId="2CA6D193" w14:textId="06E9FDF2" w:rsidR="00F555E3" w:rsidRDefault="00F555E3" w:rsidP="00F555E3">
      <w:pPr>
        <w:pStyle w:val="Para0"/>
      </w:pPr>
      <w:r w:rsidRPr="00115748">
        <w:t xml:space="preserve">States have a primary duty to protect human rights against abuses. </w:t>
      </w:r>
      <w:r>
        <w:t>At the same time,</w:t>
      </w:r>
      <w:r w:rsidRPr="00115748">
        <w:t xml:space="preserve"> business</w:t>
      </w:r>
      <w:r>
        <w:t>es</w:t>
      </w:r>
      <w:r w:rsidRPr="00115748">
        <w:t xml:space="preserve"> are expected to respect human rights independently of the </w:t>
      </w:r>
      <w:r>
        <w:t>s</w:t>
      </w:r>
      <w:r w:rsidRPr="00115748">
        <w:t>tate</w:t>
      </w:r>
      <w:r>
        <w:t>’s</w:t>
      </w:r>
      <w:r w:rsidRPr="00115748">
        <w:t xml:space="preserve"> ability or willingness to fulfil its human rights obligations. </w:t>
      </w:r>
      <w:r>
        <w:t>EaP c</w:t>
      </w:r>
      <w:r w:rsidRPr="00115748">
        <w:t>ountries are parties to most of the core international human rights treaties, except for the International Convention on the Protection of the Rights of Migrant Workers and Members of their Families (ratified by Azerbaijan only)</w:t>
      </w:r>
      <w:r>
        <w:t>,</w:t>
      </w:r>
      <w:r w:rsidRPr="00115748">
        <w:t xml:space="preserve"> and the Convention for the Protection of Enforced Disappearance (ratified by Armenia and Ukraine only).</w:t>
      </w:r>
      <w:r>
        <w:rPr>
          <w:rStyle w:val="FootnoteReference"/>
        </w:rPr>
        <w:footnoteReference w:id="5"/>
      </w:r>
      <w:r w:rsidRPr="00115748">
        <w:t xml:space="preserve"> All countries but Belarus are also members of the </w:t>
      </w:r>
      <w:r>
        <w:t>CoE</w:t>
      </w:r>
      <w:r w:rsidRPr="00115748">
        <w:t xml:space="preserve"> and are party to the European Convention on Human Rights. </w:t>
      </w:r>
    </w:p>
    <w:p w14:paraId="16C2BE36" w14:textId="77777777" w:rsidR="00F555E3" w:rsidRPr="00E64D1F" w:rsidRDefault="00F555E3" w:rsidP="00F555E3">
      <w:pPr>
        <w:pStyle w:val="Para0"/>
      </w:pPr>
      <w:r w:rsidRPr="00115748">
        <w:t xml:space="preserve">As with many </w:t>
      </w:r>
      <w:r>
        <w:t xml:space="preserve">other </w:t>
      </w:r>
      <w:r w:rsidRPr="00115748">
        <w:t>countries</w:t>
      </w:r>
      <w:r>
        <w:t xml:space="preserve"> in the world</w:t>
      </w:r>
      <w:r w:rsidRPr="00115748">
        <w:t xml:space="preserve">, implementation of international human rights commitments remains a work in progress. Concerns about human rights </w:t>
      </w:r>
      <w:r>
        <w:t>violations in</w:t>
      </w:r>
      <w:r w:rsidRPr="00115748">
        <w:t xml:space="preserve"> </w:t>
      </w:r>
      <w:r>
        <w:t>EaP</w:t>
      </w:r>
      <w:r w:rsidRPr="00115748">
        <w:t xml:space="preserve"> countries have been raised </w:t>
      </w:r>
      <w:r>
        <w:t xml:space="preserve">on several occasions </w:t>
      </w:r>
      <w:r w:rsidRPr="00115748">
        <w:t>by intern</w:t>
      </w:r>
      <w:r>
        <w:t>ational organisations, in particular</w:t>
      </w:r>
      <w:r w:rsidRPr="00115748">
        <w:t xml:space="preserve"> the UN, and human rights defenders. </w:t>
      </w:r>
      <w:r w:rsidRPr="00E57141">
        <w:t>The countries generally cooperate with the UN human rights system</w:t>
      </w:r>
      <w:r>
        <w:t>, and most</w:t>
      </w:r>
      <w:r w:rsidRPr="00E57141">
        <w:t xml:space="preserve"> </w:t>
      </w:r>
      <w:r>
        <w:t xml:space="preserve">(with the exception of </w:t>
      </w:r>
      <w:r w:rsidRPr="00E57141">
        <w:t>Belarus</w:t>
      </w:r>
      <w:r>
        <w:t>)</w:t>
      </w:r>
      <w:r w:rsidRPr="00E57141">
        <w:t xml:space="preserve"> have a human rights ombudsman with a mandate to promote and protect human rights and receive individual complaints</w:t>
      </w:r>
      <w:r>
        <w:t>.</w:t>
      </w:r>
      <w:r w:rsidRPr="00E57141">
        <w:t xml:space="preserve"> </w:t>
      </w:r>
      <w:r>
        <w:t xml:space="preserve">As </w:t>
      </w:r>
      <w:r>
        <w:lastRenderedPageBreak/>
        <w:t>of 2019, the institutions of</w:t>
      </w:r>
      <w:r w:rsidRPr="00E57141">
        <w:t xml:space="preserve"> Armenia, Georgia, Moldova and Ukraine have </w:t>
      </w:r>
      <w:r>
        <w:t xml:space="preserve">achieved </w:t>
      </w:r>
      <w:r w:rsidRPr="00E57141">
        <w:t>the ‘A’ status denoting full independence</w:t>
      </w:r>
      <w:r>
        <w:t xml:space="preserve"> (GANHRI, 2019)</w:t>
      </w:r>
      <w:r w:rsidRPr="00E57141">
        <w:t>.</w:t>
      </w:r>
    </w:p>
    <w:p w14:paraId="4807CDDF" w14:textId="77777777" w:rsidR="00F555E3" w:rsidRPr="00115748" w:rsidRDefault="00F555E3" w:rsidP="00F555E3">
      <w:pPr>
        <w:pStyle w:val="Heading4"/>
      </w:pPr>
      <w:r>
        <w:t>Protecting</w:t>
      </w:r>
      <w:r w:rsidRPr="00115748">
        <w:t xml:space="preserve"> human rights defenders </w:t>
      </w:r>
    </w:p>
    <w:p w14:paraId="6E71BCF3" w14:textId="48A075C6" w:rsidR="00F555E3" w:rsidRPr="00115748" w:rsidRDefault="00F555E3" w:rsidP="00F555E3">
      <w:pPr>
        <w:pStyle w:val="Para0"/>
        <w:rPr>
          <w:shd w:val="clear" w:color="auto" w:fill="FFFFFF"/>
        </w:rPr>
      </w:pPr>
      <w:r w:rsidRPr="00115748">
        <w:rPr>
          <w:shd w:val="clear" w:color="auto" w:fill="FFFFFF"/>
        </w:rPr>
        <w:t>Human rights defenders</w:t>
      </w:r>
      <w:r>
        <w:rPr>
          <w:shd w:val="clear" w:color="auto" w:fill="FFFFFF"/>
        </w:rPr>
        <w:t xml:space="preserve"> play a</w:t>
      </w:r>
      <w:r w:rsidRPr="00115748">
        <w:rPr>
          <w:shd w:val="clear" w:color="auto" w:fill="FFFFFF"/>
        </w:rPr>
        <w:t xml:space="preserve"> </w:t>
      </w:r>
      <w:r>
        <w:rPr>
          <w:shd w:val="clear" w:color="auto" w:fill="FFFFFF"/>
        </w:rPr>
        <w:t>critical</w:t>
      </w:r>
      <w:r w:rsidRPr="00115748">
        <w:rPr>
          <w:shd w:val="clear" w:color="auto" w:fill="FFFFFF"/>
        </w:rPr>
        <w:t xml:space="preserve"> role in the human rights due diligence process and in enabling companies to understand </w:t>
      </w:r>
      <w:r>
        <w:rPr>
          <w:shd w:val="clear" w:color="auto" w:fill="FFFFFF"/>
        </w:rPr>
        <w:t xml:space="preserve">the </w:t>
      </w:r>
      <w:r w:rsidRPr="00115748">
        <w:rPr>
          <w:shd w:val="clear" w:color="auto" w:fill="FFFFFF"/>
        </w:rPr>
        <w:t xml:space="preserve">concerns of affected stakeholders. The </w:t>
      </w:r>
      <w:r w:rsidRPr="008917D4">
        <w:rPr>
          <w:i/>
          <w:shd w:val="clear" w:color="auto" w:fill="FFFFFF"/>
        </w:rPr>
        <w:t>OECD Due Diligence Guidance</w:t>
      </w:r>
      <w:r w:rsidRPr="00115748">
        <w:rPr>
          <w:shd w:val="clear" w:color="auto" w:fill="FFFFFF"/>
        </w:rPr>
        <w:t xml:space="preserve"> </w:t>
      </w:r>
      <w:r w:rsidRPr="00A725AF">
        <w:rPr>
          <w:i/>
          <w:shd w:val="clear" w:color="auto" w:fill="FFFFFF"/>
        </w:rPr>
        <w:t>for Responsible Business Conduct</w:t>
      </w:r>
      <w:r w:rsidRPr="00115748">
        <w:rPr>
          <w:shd w:val="clear" w:color="auto" w:fill="FFFFFF"/>
        </w:rPr>
        <w:t xml:space="preserve"> </w:t>
      </w:r>
      <w:r>
        <w:rPr>
          <w:shd w:val="clear" w:color="auto" w:fill="FFFFFF"/>
        </w:rPr>
        <w:t>stresses</w:t>
      </w:r>
      <w:r w:rsidRPr="00115748">
        <w:rPr>
          <w:shd w:val="clear" w:color="auto" w:fill="FFFFFF"/>
        </w:rPr>
        <w:t xml:space="preserve"> the importance </w:t>
      </w:r>
      <w:r>
        <w:rPr>
          <w:shd w:val="clear" w:color="auto" w:fill="FFFFFF"/>
        </w:rPr>
        <w:t xml:space="preserve">of </w:t>
      </w:r>
      <w:r w:rsidRPr="00115748">
        <w:rPr>
          <w:shd w:val="clear" w:color="auto" w:fill="FFFFFF"/>
        </w:rPr>
        <w:t>consult</w:t>
      </w:r>
      <w:r>
        <w:rPr>
          <w:shd w:val="clear" w:color="auto" w:fill="FFFFFF"/>
        </w:rPr>
        <w:t>ing</w:t>
      </w:r>
      <w:r w:rsidRPr="00115748">
        <w:rPr>
          <w:shd w:val="clear" w:color="auto" w:fill="FFFFFF"/>
        </w:rPr>
        <w:t xml:space="preserve"> human rights defenders when conducting due diligence, and the adverse </w:t>
      </w:r>
      <w:r>
        <w:rPr>
          <w:shd w:val="clear" w:color="auto" w:fill="FFFFFF"/>
        </w:rPr>
        <w:t>effects of</w:t>
      </w:r>
      <w:r w:rsidRPr="00115748">
        <w:rPr>
          <w:shd w:val="clear" w:color="auto" w:fill="FFFFFF"/>
        </w:rPr>
        <w:t xml:space="preserve"> reprisals against civil society and human rights defenders who document or raise potential and actual human rights impacts</w:t>
      </w:r>
      <w:r>
        <w:rPr>
          <w:shd w:val="clear" w:color="auto" w:fill="FFFFFF"/>
        </w:rPr>
        <w:t xml:space="preserve"> (OECD, 2018c)</w:t>
      </w:r>
      <w:r w:rsidRPr="00115748">
        <w:rPr>
          <w:shd w:val="clear" w:color="auto" w:fill="FFFFFF"/>
        </w:rPr>
        <w:t xml:space="preserve">. </w:t>
      </w:r>
      <w:r w:rsidRPr="00AD6D40">
        <w:rPr>
          <w:shd w:val="clear" w:color="auto" w:fill="FFFFFF"/>
        </w:rPr>
        <w:t>While governments have a duty to protect freedom of expression, association and assembly, businesses have a responsibility to respect human rights defenders. An increasing number of business enterprises are re</w:t>
      </w:r>
      <w:r w:rsidR="00161CE5">
        <w:rPr>
          <w:shd w:val="clear" w:color="auto" w:fill="FFFFFF"/>
        </w:rPr>
        <w:t>cognis</w:t>
      </w:r>
      <w:r w:rsidRPr="00AD6D40">
        <w:rPr>
          <w:shd w:val="clear" w:color="auto" w:fill="FFFFFF"/>
        </w:rPr>
        <w:t xml:space="preserve">ing that, beyond merely consulting with human rights defenders, they can play a positive role in promoting and protecting the work of defenders in difficult environments </w:t>
      </w:r>
      <w:r>
        <w:rPr>
          <w:shd w:val="clear" w:color="auto" w:fill="FFFFFF"/>
        </w:rPr>
        <w:t>(</w:t>
      </w:r>
      <w:r>
        <w:t>BHRRC, 2020</w:t>
      </w:r>
      <w:r>
        <w:rPr>
          <w:shd w:val="clear" w:color="auto" w:fill="FFFFFF"/>
        </w:rPr>
        <w:t>)</w:t>
      </w:r>
      <w:r w:rsidRPr="00115748">
        <w:rPr>
          <w:shd w:val="clear" w:color="auto" w:fill="FFFFFF"/>
        </w:rPr>
        <w:t xml:space="preserve">. </w:t>
      </w:r>
    </w:p>
    <w:p w14:paraId="1C6AA76C" w14:textId="77777777" w:rsidR="00F555E3" w:rsidRPr="00115748" w:rsidRDefault="00F555E3" w:rsidP="00F555E3">
      <w:pPr>
        <w:pStyle w:val="Para0"/>
      </w:pPr>
      <w:r w:rsidRPr="00115748">
        <w:rPr>
          <w:shd w:val="clear" w:color="auto" w:fill="FFFFFF"/>
        </w:rPr>
        <w:t xml:space="preserve">Human rights defenders in the region have been </w:t>
      </w:r>
      <w:r>
        <w:rPr>
          <w:shd w:val="clear" w:color="auto" w:fill="FFFFFF"/>
        </w:rPr>
        <w:t>conducting their activities</w:t>
      </w:r>
      <w:r w:rsidRPr="00115748">
        <w:rPr>
          <w:shd w:val="clear" w:color="auto" w:fill="FFFFFF"/>
        </w:rPr>
        <w:t xml:space="preserve"> </w:t>
      </w:r>
      <w:r>
        <w:rPr>
          <w:shd w:val="clear" w:color="auto" w:fill="FFFFFF"/>
        </w:rPr>
        <w:t xml:space="preserve">on many occasions </w:t>
      </w:r>
      <w:r w:rsidRPr="00115748">
        <w:rPr>
          <w:shd w:val="clear" w:color="auto" w:fill="FFFFFF"/>
        </w:rPr>
        <w:t xml:space="preserve">under difficult circumstances, Georgia being the only country where no major </w:t>
      </w:r>
      <w:r>
        <w:rPr>
          <w:shd w:val="clear" w:color="auto" w:fill="FFFFFF"/>
        </w:rPr>
        <w:t>impediment</w:t>
      </w:r>
      <w:r w:rsidRPr="00115748">
        <w:rPr>
          <w:shd w:val="clear" w:color="auto" w:fill="FFFFFF"/>
        </w:rPr>
        <w:t xml:space="preserve">s by either the </w:t>
      </w:r>
      <w:r>
        <w:rPr>
          <w:shd w:val="clear" w:color="auto" w:fill="FFFFFF"/>
        </w:rPr>
        <w:t>s</w:t>
      </w:r>
      <w:r w:rsidRPr="00115748">
        <w:rPr>
          <w:shd w:val="clear" w:color="auto" w:fill="FFFFFF"/>
        </w:rPr>
        <w:t xml:space="preserve">tate or non-state actors </w:t>
      </w:r>
      <w:r>
        <w:rPr>
          <w:shd w:val="clear" w:color="auto" w:fill="FFFFFF"/>
        </w:rPr>
        <w:t>have been</w:t>
      </w:r>
      <w:r w:rsidRPr="00115748">
        <w:rPr>
          <w:shd w:val="clear" w:color="auto" w:fill="FFFFFF"/>
        </w:rPr>
        <w:t xml:space="preserve"> reported</w:t>
      </w:r>
      <w:r>
        <w:rPr>
          <w:shd w:val="clear" w:color="auto" w:fill="FFFFFF"/>
        </w:rPr>
        <w:t xml:space="preserve"> in the past few years (see below)</w:t>
      </w:r>
      <w:r w:rsidRPr="00115748">
        <w:rPr>
          <w:shd w:val="clear" w:color="auto" w:fill="FFFFFF"/>
        </w:rPr>
        <w:t xml:space="preserve">. Specific to RBC, in a recent </w:t>
      </w:r>
      <w:r>
        <w:rPr>
          <w:shd w:val="clear" w:color="auto" w:fill="FFFFFF"/>
        </w:rPr>
        <w:t xml:space="preserve">report </w:t>
      </w:r>
      <w:r w:rsidRPr="00115748">
        <w:rPr>
          <w:shd w:val="clear" w:color="auto" w:fill="FFFFFF"/>
        </w:rPr>
        <w:t>by the Business and Human Rights Resource Centre</w:t>
      </w:r>
      <w:r>
        <w:rPr>
          <w:shd w:val="clear" w:color="auto" w:fill="FFFFFF"/>
        </w:rPr>
        <w:t xml:space="preserve"> (BHRRC, 2020) based on information reported to the BHRRC by non-governmental organisations and business companies,</w:t>
      </w:r>
      <w:r w:rsidRPr="00115748">
        <w:rPr>
          <w:shd w:val="clear" w:color="auto" w:fill="FFFFFF"/>
        </w:rPr>
        <w:t xml:space="preserve"> Belarus, Ukraine, Azerbaijan, and Armenia ranked respectively number 2, 3, 5, and 7</w:t>
      </w:r>
      <w:r>
        <w:rPr>
          <w:shd w:val="clear" w:color="auto" w:fill="FFFFFF"/>
        </w:rPr>
        <w:t>,</w:t>
      </w:r>
      <w:r w:rsidRPr="00115748">
        <w:rPr>
          <w:shd w:val="clear" w:color="auto" w:fill="FFFFFF"/>
        </w:rPr>
        <w:t xml:space="preserve"> amongst countries in Eastern Europe and Central Asia</w:t>
      </w:r>
      <w:r>
        <w:rPr>
          <w:shd w:val="clear" w:color="auto" w:fill="FFFFFF"/>
        </w:rPr>
        <w:t>,</w:t>
      </w:r>
      <w:r w:rsidRPr="00115748">
        <w:rPr>
          <w:shd w:val="clear" w:color="auto" w:fill="FFFFFF"/>
        </w:rPr>
        <w:t xml:space="preserve"> with the most attacks against human rights defenders working on anti-corruption, land and environmental </w:t>
      </w:r>
      <w:r w:rsidRPr="00115748">
        <w:rPr>
          <w:color w:val="000000" w:themeColor="text1"/>
          <w:shd w:val="clear" w:color="auto" w:fill="FFFFFF"/>
        </w:rPr>
        <w:t xml:space="preserve">rights. </w:t>
      </w:r>
    </w:p>
    <w:p w14:paraId="42A59880" w14:textId="77777777" w:rsidR="00F555E3" w:rsidRPr="00115748" w:rsidRDefault="00F555E3" w:rsidP="00F555E3">
      <w:pPr>
        <w:pStyle w:val="Para0"/>
      </w:pPr>
      <w:r>
        <w:rPr>
          <w:color w:val="000000" w:themeColor="text1"/>
        </w:rPr>
        <w:t>Concerns about t</w:t>
      </w:r>
      <w:r w:rsidRPr="00115748">
        <w:rPr>
          <w:color w:val="000000" w:themeColor="text1"/>
        </w:rPr>
        <w:t xml:space="preserve">he </w:t>
      </w:r>
      <w:r>
        <w:rPr>
          <w:color w:val="000000" w:themeColor="text1"/>
        </w:rPr>
        <w:t>state of play with human rights defenders</w:t>
      </w:r>
      <w:r w:rsidRPr="00115748">
        <w:rPr>
          <w:color w:val="000000" w:themeColor="text1"/>
        </w:rPr>
        <w:t xml:space="preserve"> </w:t>
      </w:r>
      <w:r>
        <w:rPr>
          <w:color w:val="000000" w:themeColor="text1"/>
        </w:rPr>
        <w:t xml:space="preserve">in Azerbaijan and Belarus have been raised by international organisations, and human rights defenders. For example, </w:t>
      </w:r>
      <w:r w:rsidRPr="00AD6D40">
        <w:rPr>
          <w:color w:val="000000" w:themeColor="text1"/>
        </w:rPr>
        <w:t>restrictions and harassment against human rights defenders in Azerbaijan in recent years have been noted with concern by the UN (OHCHR, 2016, 2018, and 2020).</w:t>
      </w:r>
      <w:r w:rsidRPr="00115748">
        <w:rPr>
          <w:color w:val="000000" w:themeColor="text1"/>
        </w:rPr>
        <w:t xml:space="preserve"> </w:t>
      </w:r>
      <w:r>
        <w:t>Restrictions on NGO</w:t>
      </w:r>
      <w:r w:rsidRPr="00115748">
        <w:t xml:space="preserve"> activities </w:t>
      </w:r>
      <w:r>
        <w:t>were also the basis for</w:t>
      </w:r>
      <w:r w:rsidRPr="00115748">
        <w:t xml:space="preserve"> Azerbaijan’s suspension of membership by the Extractive Industry Transparency Initiative (EITI) in 2017, which resulted in Azerbaijan withdrawing from the EITI</w:t>
      </w:r>
      <w:r w:rsidRPr="00115748">
        <w:rPr>
          <w:shd w:val="clear" w:color="auto" w:fill="FFFFFF"/>
        </w:rPr>
        <w:t>.</w:t>
      </w:r>
      <w:r w:rsidRPr="00115748">
        <w:t xml:space="preserve"> </w:t>
      </w:r>
      <w:r>
        <w:t xml:space="preserve">Concerns about </w:t>
      </w:r>
      <w:r>
        <w:rPr>
          <w:color w:val="000000" w:themeColor="text1"/>
        </w:rPr>
        <w:t>the situation of</w:t>
      </w:r>
      <w:r w:rsidRPr="00115748">
        <w:rPr>
          <w:color w:val="000000" w:themeColor="text1"/>
        </w:rPr>
        <w:t xml:space="preserve"> </w:t>
      </w:r>
      <w:r w:rsidRPr="00115748">
        <w:t xml:space="preserve">human rights defenders </w:t>
      </w:r>
      <w:r>
        <w:t xml:space="preserve">in Belarus have also been raised by the UN and OECD members </w:t>
      </w:r>
      <w:r w:rsidRPr="00115748">
        <w:t>(</w:t>
      </w:r>
      <w:r>
        <w:t>OHCHR</w:t>
      </w:r>
      <w:r w:rsidRPr="00115748">
        <w:t>, 20</w:t>
      </w:r>
      <w:r>
        <w:t>20; OHCHR 201</w:t>
      </w:r>
      <w:r w:rsidRPr="00115748">
        <w:t xml:space="preserve">8; </w:t>
      </w:r>
      <w:r>
        <w:t>United States</w:t>
      </w:r>
      <w:r w:rsidRPr="00115748">
        <w:t>, 2018). In Moldova, despite a globally satisfactory legislative framework, the UN Special Rapporteur on human rights defender</w:t>
      </w:r>
      <w:r>
        <w:t>s</w:t>
      </w:r>
      <w:r w:rsidRPr="00115748">
        <w:t xml:space="preserve"> has </w:t>
      </w:r>
      <w:r>
        <w:t>cited</w:t>
      </w:r>
      <w:r w:rsidRPr="00115748">
        <w:t xml:space="preserve"> the shrinking of the ci</w:t>
      </w:r>
      <w:r>
        <w:t>vil society space and raised concerns</w:t>
      </w:r>
      <w:r w:rsidRPr="00115748">
        <w:t xml:space="preserve"> </w:t>
      </w:r>
      <w:r>
        <w:t>that human rights defenders may have been subject to intimidation (OHCHR, 2019).</w:t>
      </w:r>
    </w:p>
    <w:p w14:paraId="65D83E2A" w14:textId="77777777" w:rsidR="00F555E3" w:rsidRPr="00115748" w:rsidRDefault="00F555E3" w:rsidP="00F555E3">
      <w:pPr>
        <w:pStyle w:val="Heading4"/>
      </w:pPr>
      <w:r>
        <w:t>Business impacts on human rights</w:t>
      </w:r>
    </w:p>
    <w:p w14:paraId="33D5BF07" w14:textId="50CF293F" w:rsidR="00F555E3" w:rsidRDefault="00F555E3" w:rsidP="00F555E3">
      <w:pPr>
        <w:pStyle w:val="Para0"/>
      </w:pPr>
      <w:r w:rsidRPr="00115748">
        <w:rPr>
          <w:shd w:val="clear" w:color="auto" w:fill="FFFFFF"/>
        </w:rPr>
        <w:t xml:space="preserve">Enterprises can </w:t>
      </w:r>
      <w:r>
        <w:rPr>
          <w:shd w:val="clear" w:color="auto" w:fill="FFFFFF"/>
        </w:rPr>
        <w:t>affect</w:t>
      </w:r>
      <w:r w:rsidRPr="00115748">
        <w:rPr>
          <w:shd w:val="clear" w:color="auto" w:fill="FFFFFF"/>
        </w:rPr>
        <w:t xml:space="preserve"> virtually </w:t>
      </w:r>
      <w:r>
        <w:rPr>
          <w:shd w:val="clear" w:color="auto" w:fill="FFFFFF"/>
        </w:rPr>
        <w:t>all internationally-</w:t>
      </w:r>
      <w:r w:rsidRPr="00115748">
        <w:rPr>
          <w:shd w:val="clear" w:color="auto" w:fill="FFFFFF"/>
        </w:rPr>
        <w:t xml:space="preserve">recognised human rights. </w:t>
      </w:r>
      <w:r>
        <w:rPr>
          <w:shd w:val="clear" w:color="auto" w:fill="FFFFFF"/>
        </w:rPr>
        <w:t>The industries of greatest contention</w:t>
      </w:r>
      <w:r w:rsidRPr="00115748">
        <w:rPr>
          <w:shd w:val="clear" w:color="auto" w:fill="FFFFFF"/>
        </w:rPr>
        <w:t xml:space="preserve"> in </w:t>
      </w:r>
      <w:r>
        <w:rPr>
          <w:shd w:val="clear" w:color="auto" w:fill="FFFFFF"/>
        </w:rPr>
        <w:t>EaP</w:t>
      </w:r>
      <w:r w:rsidRPr="00115748">
        <w:rPr>
          <w:shd w:val="clear" w:color="auto" w:fill="FFFFFF"/>
        </w:rPr>
        <w:t xml:space="preserve"> countries </w:t>
      </w:r>
      <w:r>
        <w:rPr>
          <w:shd w:val="clear" w:color="auto" w:fill="FFFFFF"/>
        </w:rPr>
        <w:t xml:space="preserve">with respect to potential </w:t>
      </w:r>
      <w:r w:rsidRPr="00115748">
        <w:rPr>
          <w:shd w:val="clear" w:color="auto" w:fill="FFFFFF"/>
        </w:rPr>
        <w:t xml:space="preserve">human rights </w:t>
      </w:r>
      <w:r>
        <w:rPr>
          <w:shd w:val="clear" w:color="auto" w:fill="FFFFFF"/>
        </w:rPr>
        <w:t>violations include</w:t>
      </w:r>
      <w:r w:rsidRPr="00115748">
        <w:rPr>
          <w:shd w:val="clear" w:color="auto" w:fill="FFFFFF"/>
        </w:rPr>
        <w:t xml:space="preserve"> </w:t>
      </w:r>
      <w:r>
        <w:rPr>
          <w:shd w:val="clear" w:color="auto" w:fill="FFFFFF"/>
        </w:rPr>
        <w:t>mining</w:t>
      </w:r>
      <w:r w:rsidRPr="00115748">
        <w:rPr>
          <w:shd w:val="clear" w:color="auto" w:fill="FFFFFF"/>
        </w:rPr>
        <w:t xml:space="preserve">, oil </w:t>
      </w:r>
      <w:r>
        <w:rPr>
          <w:shd w:val="clear" w:color="auto" w:fill="FFFFFF"/>
        </w:rPr>
        <w:t>and gas,</w:t>
      </w:r>
      <w:r w:rsidRPr="00115748">
        <w:rPr>
          <w:shd w:val="clear" w:color="auto" w:fill="FFFFFF"/>
        </w:rPr>
        <w:t xml:space="preserve"> and ag</w:t>
      </w:r>
      <w:r w:rsidRPr="00115748">
        <w:rPr>
          <w:color w:val="000000" w:themeColor="text1"/>
        </w:rPr>
        <w:t>ro-</w:t>
      </w:r>
      <w:r>
        <w:rPr>
          <w:color w:val="000000" w:themeColor="text1"/>
        </w:rPr>
        <w:t>processing, which are of significant relevance</w:t>
      </w:r>
      <w:r w:rsidRPr="00115748">
        <w:rPr>
          <w:color w:val="000000" w:themeColor="text1"/>
        </w:rPr>
        <w:t xml:space="preserve"> </w:t>
      </w:r>
      <w:r>
        <w:rPr>
          <w:color w:val="000000" w:themeColor="text1"/>
        </w:rPr>
        <w:t>to</w:t>
      </w:r>
      <w:r w:rsidRPr="00115748">
        <w:rPr>
          <w:color w:val="000000" w:themeColor="text1"/>
        </w:rPr>
        <w:t xml:space="preserve"> Armenia, Azerbaijan,</w:t>
      </w:r>
      <w:r>
        <w:rPr>
          <w:color w:val="000000" w:themeColor="text1"/>
        </w:rPr>
        <w:t xml:space="preserve"> Georgia</w:t>
      </w:r>
      <w:r w:rsidRPr="00115748">
        <w:rPr>
          <w:color w:val="000000" w:themeColor="text1"/>
        </w:rPr>
        <w:t xml:space="preserve"> and Ukraine. </w:t>
      </w:r>
      <w:r>
        <w:rPr>
          <w:color w:val="000000" w:themeColor="text1"/>
        </w:rPr>
        <w:t xml:space="preserve">Concerns related to the impacts of hydro-power plants have also been raised </w:t>
      </w:r>
      <w:r>
        <w:rPr>
          <w:shd w:val="clear" w:color="auto" w:fill="FFFFFF"/>
        </w:rPr>
        <w:t>in</w:t>
      </w:r>
      <w:r w:rsidRPr="00115748">
        <w:rPr>
          <w:shd w:val="clear" w:color="auto" w:fill="FFFFFF"/>
        </w:rPr>
        <w:t xml:space="preserve"> Georgia.</w:t>
      </w:r>
      <w:r w:rsidRPr="00115748">
        <w:t xml:space="preserve"> NGOs in </w:t>
      </w:r>
      <w:r>
        <w:t>the region</w:t>
      </w:r>
      <w:r w:rsidRPr="00115748">
        <w:t xml:space="preserve"> have </w:t>
      </w:r>
      <w:r>
        <w:t>voiced their</w:t>
      </w:r>
      <w:r w:rsidRPr="00115748">
        <w:t xml:space="preserve"> concerns over the impacts of extractive and agri</w:t>
      </w:r>
      <w:r>
        <w:t>cultural</w:t>
      </w:r>
      <w:r w:rsidRPr="00115748">
        <w:t xml:space="preserve"> operations on water, air and soil quality, and health </w:t>
      </w:r>
      <w:r>
        <w:t>of</w:t>
      </w:r>
      <w:r w:rsidRPr="00115748">
        <w:t xml:space="preserve"> communities. </w:t>
      </w:r>
      <w:r>
        <w:t xml:space="preserve">Concerns have </w:t>
      </w:r>
      <w:r w:rsidRPr="00115748">
        <w:t>also been expressed</w:t>
      </w:r>
      <w:r>
        <w:t xml:space="preserve"> by civil society over</w:t>
      </w:r>
      <w:r w:rsidRPr="00115748">
        <w:t xml:space="preserve"> the lack of </w:t>
      </w:r>
      <w:r>
        <w:t xml:space="preserve">stakeholder </w:t>
      </w:r>
      <w:r w:rsidRPr="00115748">
        <w:t>consultation and information</w:t>
      </w:r>
      <w:r>
        <w:t xml:space="preserve"> dissemination</w:t>
      </w:r>
      <w:r w:rsidRPr="00115748">
        <w:t xml:space="preserve"> by business</w:t>
      </w:r>
      <w:r>
        <w:t>es</w:t>
      </w:r>
      <w:r w:rsidRPr="00115748">
        <w:t xml:space="preserve"> </w:t>
      </w:r>
      <w:r>
        <w:t>or the state; alleged</w:t>
      </w:r>
      <w:r w:rsidRPr="00115748">
        <w:t xml:space="preserve"> intimidation of communities and environmental ri</w:t>
      </w:r>
      <w:r>
        <w:t>ghts activists;</w:t>
      </w:r>
      <w:r w:rsidRPr="00115748">
        <w:t xml:space="preserve"> </w:t>
      </w:r>
      <w:r>
        <w:t xml:space="preserve">and </w:t>
      </w:r>
      <w:r w:rsidRPr="00115748">
        <w:t xml:space="preserve">the failure to conduct </w:t>
      </w:r>
      <w:r w:rsidRPr="00115748">
        <w:rPr>
          <w:color w:val="000000" w:themeColor="text1"/>
        </w:rPr>
        <w:t xml:space="preserve">human rights due diligence </w:t>
      </w:r>
      <w:r w:rsidRPr="00115748">
        <w:t xml:space="preserve">including environmental and human rights </w:t>
      </w:r>
      <w:r w:rsidRPr="00115748">
        <w:lastRenderedPageBreak/>
        <w:t>impact assessments.</w:t>
      </w:r>
      <w:r w:rsidRPr="00115748">
        <w:rPr>
          <w:color w:val="000000" w:themeColor="text1"/>
        </w:rPr>
        <w:t xml:space="preserve"> </w:t>
      </w:r>
      <w:r>
        <w:t>A selection</w:t>
      </w:r>
      <w:r w:rsidRPr="00115748">
        <w:t xml:space="preserve"> of complaints </w:t>
      </w:r>
      <w:r w:rsidR="00871207" w:rsidRPr="00871207">
        <w:t xml:space="preserve">submitted to and assessed by NCPs, international accountability mechanisms of development finance institutions, and the UN </w:t>
      </w:r>
      <w:r>
        <w:t>are summarised in Box 5.5</w:t>
      </w:r>
      <w:r w:rsidR="00803661">
        <w:t>.</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17846B9F" w14:textId="77777777" w:rsidTr="00161CE5">
        <w:trPr>
          <w:jc w:val="center"/>
        </w:trPr>
        <w:tc>
          <w:tcPr>
            <w:tcW w:w="9309" w:type="dxa"/>
            <w:shd w:val="clear" w:color="auto" w:fill="E1E6EB"/>
          </w:tcPr>
          <w:p w14:paraId="2A0E4D5B" w14:textId="36DA3788" w:rsidR="00F555E3" w:rsidRDefault="00F555E3" w:rsidP="00161CE5">
            <w:pPr>
              <w:pStyle w:val="Caption"/>
              <w:keepNext w:val="0"/>
            </w:pPr>
            <w:r>
              <w:tab/>
            </w:r>
            <w:bookmarkStart w:id="167" w:name="_Toc33443353"/>
            <w:bookmarkStart w:id="168" w:name="_Toc31983236"/>
            <w:bookmarkStart w:id="169" w:name="_Toc31991355"/>
            <w:r>
              <w:t xml:space="preserve">Box </w:t>
            </w:r>
            <w:fldSimple w:instr=" STYLEREF 1 \s ">
              <w:r w:rsidR="00C23E82">
                <w:rPr>
                  <w:noProof/>
                </w:rPr>
                <w:t>5</w:t>
              </w:r>
            </w:fldSimple>
            <w:r>
              <w:t>.</w:t>
            </w:r>
            <w:r>
              <w:rPr>
                <w:noProof/>
              </w:rPr>
              <w:fldChar w:fldCharType="begin"/>
            </w:r>
            <w:r>
              <w:rPr>
                <w:noProof/>
              </w:rPr>
              <w:instrText xml:space="preserve"> SEQ Box \* ARABIC \s 1 </w:instrText>
            </w:r>
            <w:r>
              <w:rPr>
                <w:noProof/>
              </w:rPr>
              <w:fldChar w:fldCharType="separate"/>
            </w:r>
            <w:r w:rsidR="00C23E82">
              <w:rPr>
                <w:noProof/>
              </w:rPr>
              <w:t>5</w:t>
            </w:r>
            <w:r>
              <w:rPr>
                <w:noProof/>
              </w:rPr>
              <w:fldChar w:fldCharType="end"/>
            </w:r>
            <w:r>
              <w:t xml:space="preserve">. Selected cases </w:t>
            </w:r>
            <w:r w:rsidRPr="00AD6D40">
              <w:t xml:space="preserve">assessed by international grievance mechanisms </w:t>
            </w:r>
            <w:r w:rsidR="00DC4D16">
              <w:t>on</w:t>
            </w:r>
            <w:r w:rsidRPr="00AD6D40">
              <w:t xml:space="preserve"> human rights</w:t>
            </w:r>
            <w:bookmarkEnd w:id="167"/>
            <w:r>
              <w:t xml:space="preserve"> </w:t>
            </w:r>
            <w:bookmarkEnd w:id="168"/>
            <w:bookmarkEnd w:id="169"/>
          </w:p>
          <w:p w14:paraId="65EB7106" w14:textId="76182989" w:rsidR="00F555E3" w:rsidRDefault="00F555E3" w:rsidP="00161CE5">
            <w:pPr>
              <w:pStyle w:val="Para0"/>
              <w:rPr>
                <w:sz w:val="20"/>
              </w:rPr>
            </w:pPr>
            <w:r w:rsidRPr="00F82848">
              <w:rPr>
                <w:sz w:val="20"/>
              </w:rPr>
              <w:t xml:space="preserve">In </w:t>
            </w:r>
            <w:r w:rsidRPr="0022460E">
              <w:rPr>
                <w:b/>
                <w:sz w:val="20"/>
              </w:rPr>
              <w:t>Armenia</w:t>
            </w:r>
            <w:r w:rsidRPr="00F82848">
              <w:rPr>
                <w:sz w:val="20"/>
              </w:rPr>
              <w:t>, the Amulsar gold min</w:t>
            </w:r>
            <w:r>
              <w:rPr>
                <w:sz w:val="20"/>
              </w:rPr>
              <w:t>e</w:t>
            </w:r>
            <w:r w:rsidRPr="00F82848">
              <w:rPr>
                <w:sz w:val="20"/>
              </w:rPr>
              <w:t xml:space="preserve"> project, operated by Lydian International, has been the subject of international and local attention. </w:t>
            </w:r>
            <w:r>
              <w:rPr>
                <w:sz w:val="20"/>
              </w:rPr>
              <w:t xml:space="preserve">In 2014, </w:t>
            </w:r>
            <w:r w:rsidRPr="00F82848">
              <w:rPr>
                <w:sz w:val="20"/>
              </w:rPr>
              <w:t>the Compliance Advisory Ombudsman (CAO) of the International Finance Corporation (IFC)</w:t>
            </w:r>
            <w:r>
              <w:rPr>
                <w:sz w:val="20"/>
              </w:rPr>
              <w:t xml:space="preserve"> received a complaint </w:t>
            </w:r>
            <w:r w:rsidRPr="00582B2F">
              <w:rPr>
                <w:sz w:val="20"/>
              </w:rPr>
              <w:t>regarding IFC's investment in Lydian International by 147 local residents</w:t>
            </w:r>
            <w:r>
              <w:rPr>
                <w:sz w:val="20"/>
              </w:rPr>
              <w:t xml:space="preserve">, </w:t>
            </w:r>
            <w:r w:rsidRPr="00F82848">
              <w:rPr>
                <w:sz w:val="20"/>
              </w:rPr>
              <w:t>rais</w:t>
            </w:r>
            <w:r>
              <w:rPr>
                <w:sz w:val="20"/>
              </w:rPr>
              <w:t>ing</w:t>
            </w:r>
            <w:r w:rsidRPr="00F82848">
              <w:rPr>
                <w:sz w:val="20"/>
              </w:rPr>
              <w:t xml:space="preserve"> concerns </w:t>
            </w:r>
            <w:r>
              <w:rPr>
                <w:sz w:val="20"/>
              </w:rPr>
              <w:t>about</w:t>
            </w:r>
            <w:r w:rsidRPr="00F82848">
              <w:rPr>
                <w:sz w:val="20"/>
              </w:rPr>
              <w:t xml:space="preserve"> </w:t>
            </w:r>
            <w:r>
              <w:rPr>
                <w:sz w:val="20"/>
              </w:rPr>
              <w:t xml:space="preserve">the </w:t>
            </w:r>
            <w:r w:rsidRPr="00582B2F">
              <w:rPr>
                <w:sz w:val="20"/>
              </w:rPr>
              <w:t>project</w:t>
            </w:r>
            <w:r>
              <w:rPr>
                <w:sz w:val="20"/>
              </w:rPr>
              <w:t>’s</w:t>
            </w:r>
            <w:r w:rsidRPr="00582B2F">
              <w:rPr>
                <w:sz w:val="20"/>
              </w:rPr>
              <w:t xml:space="preserve"> impacts on livelihoods, the environment and community health</w:t>
            </w:r>
            <w:r w:rsidRPr="00F82848">
              <w:rPr>
                <w:sz w:val="20"/>
              </w:rPr>
              <w:t>. In 2016 a complaint on the same case was submitted to the Compliance Committee of the Aarhus Convention</w:t>
            </w:r>
            <w:r>
              <w:rPr>
                <w:sz w:val="20"/>
              </w:rPr>
              <w:t xml:space="preserve">. </w:t>
            </w:r>
            <w:r w:rsidRPr="00F82848">
              <w:rPr>
                <w:sz w:val="20"/>
              </w:rPr>
              <w:t xml:space="preserve">CAO concluded its audit, finding shortcomings in </w:t>
            </w:r>
            <w:r>
              <w:rPr>
                <w:sz w:val="20"/>
              </w:rPr>
              <w:t>IFC’s</w:t>
            </w:r>
            <w:r w:rsidRPr="00F82848">
              <w:rPr>
                <w:sz w:val="20"/>
              </w:rPr>
              <w:t xml:space="preserve"> application of environmental and social safeguards</w:t>
            </w:r>
            <w:r>
              <w:rPr>
                <w:sz w:val="20"/>
              </w:rPr>
              <w:t>, and</w:t>
            </w:r>
            <w:r w:rsidRPr="00F82848">
              <w:rPr>
                <w:sz w:val="20"/>
              </w:rPr>
              <w:t xml:space="preserve"> IFC divested from the project in 2017.</w:t>
            </w:r>
            <w:r>
              <w:rPr>
                <w:sz w:val="20"/>
              </w:rPr>
              <w:t xml:space="preserve"> Similarly,</w:t>
            </w:r>
            <w:r w:rsidRPr="00F82848">
              <w:rPr>
                <w:sz w:val="20"/>
              </w:rPr>
              <w:t xml:space="preserve"> the Teghut copper-molybdenum mining project in north-eastern Armenia, </w:t>
            </w:r>
            <w:r>
              <w:rPr>
                <w:sz w:val="20"/>
              </w:rPr>
              <w:t xml:space="preserve">raised concerns </w:t>
            </w:r>
            <w:r w:rsidRPr="00F82848">
              <w:rPr>
                <w:sz w:val="20"/>
              </w:rPr>
              <w:t>relat</w:t>
            </w:r>
            <w:r>
              <w:rPr>
                <w:sz w:val="20"/>
              </w:rPr>
              <w:t>ed</w:t>
            </w:r>
            <w:r w:rsidRPr="00F82848">
              <w:rPr>
                <w:sz w:val="20"/>
              </w:rPr>
              <w:t xml:space="preserve"> to the inadequacy of the environmental impact assessment and consultations with stakeholders, and potential impacts on forest, water and soil. Communities submitted a complain</w:t>
            </w:r>
            <w:r w:rsidR="002D1FEC">
              <w:rPr>
                <w:sz w:val="20"/>
              </w:rPr>
              <w:t>t to the Danish NCP</w:t>
            </w:r>
            <w:r w:rsidRPr="00F82848">
              <w:rPr>
                <w:sz w:val="20"/>
              </w:rPr>
              <w:t xml:space="preserve"> </w:t>
            </w:r>
            <w:r w:rsidR="002D1FEC">
              <w:rPr>
                <w:sz w:val="20"/>
              </w:rPr>
              <w:t>on the project’s financing by</w:t>
            </w:r>
            <w:r w:rsidRPr="00F82848">
              <w:rPr>
                <w:sz w:val="20"/>
              </w:rPr>
              <w:t xml:space="preserve"> </w:t>
            </w:r>
            <w:r w:rsidR="002D1FEC">
              <w:rPr>
                <w:sz w:val="20"/>
              </w:rPr>
              <w:t>the Danish Export Credit Agency</w:t>
            </w:r>
            <w:r w:rsidRPr="00F82848">
              <w:rPr>
                <w:sz w:val="20"/>
              </w:rPr>
              <w:t xml:space="preserve">, and whether </w:t>
            </w:r>
            <w:r w:rsidR="002D1FEC">
              <w:rPr>
                <w:sz w:val="20"/>
              </w:rPr>
              <w:t>it</w:t>
            </w:r>
            <w:r w:rsidRPr="00F82848">
              <w:rPr>
                <w:sz w:val="20"/>
              </w:rPr>
              <w:t xml:space="preserve"> had exercised adequate due diligence</w:t>
            </w:r>
            <w:r>
              <w:rPr>
                <w:sz w:val="20"/>
              </w:rPr>
              <w:t>.</w:t>
            </w:r>
            <w:r w:rsidRPr="00F82848">
              <w:rPr>
                <w:sz w:val="20"/>
              </w:rPr>
              <w:t xml:space="preserve"> </w:t>
            </w:r>
            <w:r>
              <w:rPr>
                <w:sz w:val="20"/>
              </w:rPr>
              <w:t>T</w:t>
            </w:r>
            <w:r w:rsidRPr="00F82848">
              <w:rPr>
                <w:sz w:val="20"/>
              </w:rPr>
              <w:t>he complaint was rejected, although</w:t>
            </w:r>
            <w:r>
              <w:rPr>
                <w:sz w:val="20"/>
              </w:rPr>
              <w:t xml:space="preserve"> the position of</w:t>
            </w:r>
            <w:r w:rsidRPr="00F82848">
              <w:rPr>
                <w:sz w:val="20"/>
              </w:rPr>
              <w:t xml:space="preserve"> NGOs such as OECD Watch</w:t>
            </w:r>
            <w:r>
              <w:rPr>
                <w:sz w:val="20"/>
              </w:rPr>
              <w:t xml:space="preserve"> was that </w:t>
            </w:r>
            <w:r w:rsidRPr="00F82848">
              <w:rPr>
                <w:sz w:val="20"/>
              </w:rPr>
              <w:t xml:space="preserve">the decision </w:t>
            </w:r>
            <w:r>
              <w:rPr>
                <w:sz w:val="20"/>
              </w:rPr>
              <w:t>w</w:t>
            </w:r>
            <w:r w:rsidRPr="00F82848">
              <w:rPr>
                <w:sz w:val="20"/>
              </w:rPr>
              <w:t xml:space="preserve">as </w:t>
            </w:r>
            <w:r>
              <w:rPr>
                <w:sz w:val="20"/>
              </w:rPr>
              <w:t>in</w:t>
            </w:r>
            <w:r w:rsidRPr="00F82848">
              <w:rPr>
                <w:sz w:val="20"/>
              </w:rPr>
              <w:t xml:space="preserve">consistent with NCP procedure. The UN Special Rapporteur on peaceful assembly and association recommended </w:t>
            </w:r>
            <w:r>
              <w:rPr>
                <w:sz w:val="20"/>
              </w:rPr>
              <w:t>that</w:t>
            </w:r>
            <w:r w:rsidRPr="00F82848">
              <w:rPr>
                <w:sz w:val="20"/>
              </w:rPr>
              <w:t xml:space="preserve"> the Armenia</w:t>
            </w:r>
            <w:r>
              <w:rPr>
                <w:sz w:val="20"/>
              </w:rPr>
              <w:t>n</w:t>
            </w:r>
            <w:r w:rsidRPr="00F82848">
              <w:rPr>
                <w:sz w:val="20"/>
              </w:rPr>
              <w:t xml:space="preserve"> government</w:t>
            </w:r>
            <w:r>
              <w:rPr>
                <w:sz w:val="20"/>
              </w:rPr>
              <w:t xml:space="preserve"> </w:t>
            </w:r>
            <w:r w:rsidRPr="00F82848">
              <w:rPr>
                <w:sz w:val="20"/>
              </w:rPr>
              <w:t xml:space="preserve">carry out genuine consultations </w:t>
            </w:r>
            <w:r>
              <w:rPr>
                <w:sz w:val="20"/>
              </w:rPr>
              <w:t>to align</w:t>
            </w:r>
            <w:r w:rsidRPr="00F82848">
              <w:rPr>
                <w:sz w:val="20"/>
              </w:rPr>
              <w:t xml:space="preserve"> mining projects with the </w:t>
            </w:r>
            <w:r w:rsidRPr="00BF454E">
              <w:rPr>
                <w:i/>
                <w:sz w:val="20"/>
              </w:rPr>
              <w:t>UN Guiding Principles</w:t>
            </w:r>
            <w:r w:rsidRPr="00F82848">
              <w:rPr>
                <w:sz w:val="20"/>
              </w:rPr>
              <w:t>.</w:t>
            </w:r>
          </w:p>
          <w:p w14:paraId="145BD544" w14:textId="7FDF21DE" w:rsidR="00F555E3" w:rsidRPr="00952151" w:rsidRDefault="00F555E3" w:rsidP="00161CE5">
            <w:pPr>
              <w:pStyle w:val="Para0"/>
              <w:rPr>
                <w:color w:val="000000" w:themeColor="text1"/>
                <w:sz w:val="20"/>
              </w:rPr>
            </w:pPr>
            <w:r w:rsidRPr="00952151">
              <w:rPr>
                <w:color w:val="000000" w:themeColor="text1"/>
                <w:sz w:val="20"/>
              </w:rPr>
              <w:t xml:space="preserve">Over thirty complaints were submitted to CAO from 2004 through 2011 in relation to the IFC’s financing of the </w:t>
            </w:r>
            <w:r w:rsidRPr="00D55E3E">
              <w:rPr>
                <w:iCs/>
                <w:color w:val="000000" w:themeColor="text1"/>
                <w:sz w:val="20"/>
              </w:rPr>
              <w:t>Baku-Tbilisi-Ceyhan (BTC) oil and gas pipeline</w:t>
            </w:r>
            <w:r w:rsidRPr="00952151">
              <w:rPr>
                <w:color w:val="000000" w:themeColor="text1"/>
                <w:sz w:val="20"/>
              </w:rPr>
              <w:t xml:space="preserve">, passing through </w:t>
            </w:r>
            <w:r w:rsidRPr="0022460E">
              <w:rPr>
                <w:b/>
                <w:color w:val="000000" w:themeColor="text1"/>
                <w:sz w:val="20"/>
              </w:rPr>
              <w:t>Azerbaijan</w:t>
            </w:r>
            <w:r w:rsidRPr="00952151">
              <w:rPr>
                <w:color w:val="000000" w:themeColor="text1"/>
                <w:sz w:val="20"/>
              </w:rPr>
              <w:t xml:space="preserve">, </w:t>
            </w:r>
            <w:r w:rsidRPr="0022460E">
              <w:rPr>
                <w:b/>
                <w:color w:val="000000" w:themeColor="text1"/>
                <w:sz w:val="20"/>
              </w:rPr>
              <w:t>Georgia</w:t>
            </w:r>
            <w:r w:rsidRPr="00952151">
              <w:rPr>
                <w:color w:val="000000" w:themeColor="text1"/>
                <w:sz w:val="20"/>
              </w:rPr>
              <w:t xml:space="preserve"> and Turkey, noting impacts on agricultural land, lack of consultation, </w:t>
            </w:r>
            <w:r w:rsidR="007A3096">
              <w:rPr>
                <w:color w:val="000000" w:themeColor="text1"/>
                <w:sz w:val="20"/>
              </w:rPr>
              <w:t xml:space="preserve">and </w:t>
            </w:r>
            <w:r w:rsidRPr="00952151">
              <w:rPr>
                <w:color w:val="000000" w:themeColor="text1"/>
                <w:sz w:val="20"/>
              </w:rPr>
              <w:t xml:space="preserve">noise and nuisance linked to construction. Complaints were filed simultaneously with the </w:t>
            </w:r>
            <w:r>
              <w:rPr>
                <w:color w:val="000000" w:themeColor="text1"/>
                <w:sz w:val="20"/>
              </w:rPr>
              <w:t xml:space="preserve">NCPs of </w:t>
            </w:r>
            <w:r w:rsidRPr="00952151">
              <w:rPr>
                <w:color w:val="000000" w:themeColor="text1"/>
                <w:sz w:val="20"/>
              </w:rPr>
              <w:t xml:space="preserve">UK, Germany, Italy, and US, alleging that BP and consortium partners breached the </w:t>
            </w:r>
            <w:r w:rsidRPr="00BF454E">
              <w:rPr>
                <w:i/>
                <w:color w:val="000000" w:themeColor="text1"/>
                <w:sz w:val="20"/>
              </w:rPr>
              <w:t>Guidelines</w:t>
            </w:r>
            <w:r w:rsidRPr="00952151">
              <w:rPr>
                <w:color w:val="000000" w:themeColor="text1"/>
                <w:sz w:val="20"/>
              </w:rPr>
              <w:t xml:space="preserve"> by seeking tax and law exemptions and exerting undue influence on governments to accept a legal regime that was detrimental to human rights and the environment. The complaint also raised concerns about BP’s failure to adequately consult with project-affected communities. A</w:t>
            </w:r>
            <w:r>
              <w:rPr>
                <w:color w:val="000000" w:themeColor="text1"/>
                <w:sz w:val="20"/>
              </w:rPr>
              <w:t>nother</w:t>
            </w:r>
            <w:r w:rsidRPr="00952151">
              <w:rPr>
                <w:color w:val="000000" w:themeColor="text1"/>
                <w:sz w:val="20"/>
              </w:rPr>
              <w:t xml:space="preserve"> complaint, filed by Proyecto Gato </w:t>
            </w:r>
            <w:r w:rsidR="007A3096">
              <w:rPr>
                <w:color w:val="000000" w:themeColor="text1"/>
                <w:sz w:val="20"/>
              </w:rPr>
              <w:t>with</w:t>
            </w:r>
            <w:r w:rsidRPr="00952151">
              <w:rPr>
                <w:color w:val="000000" w:themeColor="text1"/>
                <w:sz w:val="20"/>
              </w:rPr>
              <w:t xml:space="preserve"> the Belgian NCP, alleged that the Belgian banks ING, Dexia, and KBC, which supported the BTC project financially, had not conducted adequate due diligence on the environment, health, and security impacts of the pipeline. The complaints went through a protracted process of appraisal, with the UK NCP issuing its final revised statement in 2011, finding BP to be in breach of the </w:t>
            </w:r>
            <w:r w:rsidRPr="00BF454E">
              <w:rPr>
                <w:i/>
                <w:color w:val="000000" w:themeColor="text1"/>
                <w:sz w:val="20"/>
              </w:rPr>
              <w:t>Guidelines</w:t>
            </w:r>
            <w:r w:rsidRPr="00952151">
              <w:rPr>
                <w:color w:val="000000" w:themeColor="text1"/>
                <w:sz w:val="20"/>
              </w:rPr>
              <w:t xml:space="preserve"> for some aspects (such as stakeholder consultation).</w:t>
            </w:r>
            <w:r>
              <w:rPr>
                <w:color w:val="000000" w:themeColor="text1"/>
                <w:sz w:val="20"/>
              </w:rPr>
              <w:t xml:space="preserve"> </w:t>
            </w:r>
            <w:r w:rsidRPr="00952151">
              <w:rPr>
                <w:color w:val="000000" w:themeColor="text1"/>
                <w:sz w:val="20"/>
              </w:rPr>
              <w:t>Another complaint to CAO, currently under appraisal by Compliance, concerns land compensation and consultation during the construction of the South Caucasus Pipeline Expansion in Azerbaijan.</w:t>
            </w:r>
          </w:p>
          <w:p w14:paraId="22115344" w14:textId="739092B3" w:rsidR="00F555E3" w:rsidRDefault="00F555E3" w:rsidP="00161CE5">
            <w:pPr>
              <w:pStyle w:val="Para0"/>
            </w:pPr>
            <w:r w:rsidRPr="00F82848">
              <w:rPr>
                <w:sz w:val="20"/>
              </w:rPr>
              <w:t>The rise of large-scale industriali</w:t>
            </w:r>
            <w:r>
              <w:rPr>
                <w:sz w:val="20"/>
              </w:rPr>
              <w:t>s</w:t>
            </w:r>
            <w:r w:rsidRPr="00F82848">
              <w:rPr>
                <w:sz w:val="20"/>
              </w:rPr>
              <w:t xml:space="preserve">ation of meat production in </w:t>
            </w:r>
            <w:r w:rsidRPr="0022460E">
              <w:rPr>
                <w:b/>
                <w:sz w:val="20"/>
              </w:rPr>
              <w:t>Ukraine</w:t>
            </w:r>
            <w:r w:rsidRPr="00F82848">
              <w:rPr>
                <w:sz w:val="20"/>
              </w:rPr>
              <w:t xml:space="preserve"> has been the subject of complaints before CAO. The most </w:t>
            </w:r>
            <w:r w:rsidR="007A3096">
              <w:rPr>
                <w:sz w:val="20"/>
              </w:rPr>
              <w:t>recent complaint in 2018</w:t>
            </w:r>
            <w:r w:rsidRPr="00F82848">
              <w:rPr>
                <w:sz w:val="20"/>
              </w:rPr>
              <w:t xml:space="preserve"> re</w:t>
            </w:r>
            <w:r w:rsidR="007A3096">
              <w:rPr>
                <w:sz w:val="20"/>
              </w:rPr>
              <w:t>lates</w:t>
            </w:r>
            <w:r w:rsidRPr="00F82848">
              <w:rPr>
                <w:sz w:val="20"/>
              </w:rPr>
              <w:t xml:space="preserve"> to the </w:t>
            </w:r>
            <w:r w:rsidR="007A3096">
              <w:rPr>
                <w:sz w:val="20"/>
              </w:rPr>
              <w:t xml:space="preserve">country’s </w:t>
            </w:r>
            <w:r w:rsidRPr="00F82848">
              <w:rPr>
                <w:sz w:val="20"/>
              </w:rPr>
              <w:t>larg</w:t>
            </w:r>
            <w:r>
              <w:rPr>
                <w:sz w:val="20"/>
              </w:rPr>
              <w:t>est poultry producer (</w:t>
            </w:r>
            <w:r w:rsidRPr="00F82848">
              <w:rPr>
                <w:sz w:val="20"/>
              </w:rPr>
              <w:t>Myroniv</w:t>
            </w:r>
            <w:r>
              <w:rPr>
                <w:sz w:val="20"/>
              </w:rPr>
              <w:t>sky Hliboproduct, Publichne AT)</w:t>
            </w:r>
            <w:r w:rsidRPr="00F82848">
              <w:rPr>
                <w:sz w:val="20"/>
              </w:rPr>
              <w:t>. The</w:t>
            </w:r>
            <w:r w:rsidR="001807CA">
              <w:rPr>
                <w:sz w:val="20"/>
              </w:rPr>
              <w:t xml:space="preserve"> complaint raises concerns over adverse</w:t>
            </w:r>
            <w:r w:rsidRPr="00F82848">
              <w:rPr>
                <w:sz w:val="20"/>
              </w:rPr>
              <w:t xml:space="preserve"> impacts </w:t>
            </w:r>
            <w:r w:rsidR="001807CA">
              <w:rPr>
                <w:sz w:val="20"/>
              </w:rPr>
              <w:t xml:space="preserve">of </w:t>
            </w:r>
            <w:r w:rsidRPr="00F82848">
              <w:rPr>
                <w:sz w:val="20"/>
              </w:rPr>
              <w:t>air, water,</w:t>
            </w:r>
            <w:r w:rsidR="001807CA">
              <w:rPr>
                <w:sz w:val="20"/>
              </w:rPr>
              <w:t xml:space="preserve"> </w:t>
            </w:r>
            <w:r w:rsidR="007A3096">
              <w:rPr>
                <w:sz w:val="20"/>
              </w:rPr>
              <w:t>soil</w:t>
            </w:r>
            <w:r w:rsidR="001807CA">
              <w:rPr>
                <w:sz w:val="20"/>
              </w:rPr>
              <w:t xml:space="preserve"> and noise</w:t>
            </w:r>
            <w:r w:rsidR="007A3096">
              <w:rPr>
                <w:sz w:val="20"/>
              </w:rPr>
              <w:t xml:space="preserve"> pollution</w:t>
            </w:r>
            <w:r w:rsidR="001807CA">
              <w:rPr>
                <w:sz w:val="20"/>
              </w:rPr>
              <w:t>,</w:t>
            </w:r>
            <w:r w:rsidR="007A3096">
              <w:rPr>
                <w:sz w:val="20"/>
              </w:rPr>
              <w:t xml:space="preserve"> and depletion of</w:t>
            </w:r>
            <w:r w:rsidRPr="00F82848">
              <w:rPr>
                <w:sz w:val="20"/>
              </w:rPr>
              <w:t xml:space="preserve"> water resources. Additional </w:t>
            </w:r>
            <w:r w:rsidR="001807CA">
              <w:rPr>
                <w:sz w:val="20"/>
              </w:rPr>
              <w:t>concerns</w:t>
            </w:r>
            <w:r w:rsidRPr="00F82848">
              <w:rPr>
                <w:sz w:val="20"/>
              </w:rPr>
              <w:t xml:space="preserve"> include </w:t>
            </w:r>
            <w:r w:rsidR="007A3096">
              <w:rPr>
                <w:sz w:val="20"/>
              </w:rPr>
              <w:t>improper community consultation</w:t>
            </w:r>
            <w:r w:rsidR="001807CA">
              <w:rPr>
                <w:sz w:val="20"/>
              </w:rPr>
              <w:t>,</w:t>
            </w:r>
            <w:r w:rsidR="007A3096">
              <w:rPr>
                <w:sz w:val="20"/>
              </w:rPr>
              <w:t xml:space="preserve"> </w:t>
            </w:r>
            <w:r w:rsidRPr="00F82848">
              <w:rPr>
                <w:sz w:val="20"/>
              </w:rPr>
              <w:t>information disclosure</w:t>
            </w:r>
            <w:r w:rsidR="007A3096">
              <w:rPr>
                <w:sz w:val="20"/>
              </w:rPr>
              <w:t>,</w:t>
            </w:r>
            <w:r w:rsidRPr="00F82848">
              <w:rPr>
                <w:sz w:val="20"/>
              </w:rPr>
              <w:t xml:space="preserve"> and </w:t>
            </w:r>
            <w:r w:rsidR="001807CA">
              <w:rPr>
                <w:sz w:val="20"/>
              </w:rPr>
              <w:t>occupational health and safety standards</w:t>
            </w:r>
            <w:r w:rsidRPr="00F82848">
              <w:rPr>
                <w:sz w:val="20"/>
              </w:rPr>
              <w:t xml:space="preserve">. Communities also reported </w:t>
            </w:r>
            <w:r w:rsidR="007A3096">
              <w:rPr>
                <w:sz w:val="20"/>
              </w:rPr>
              <w:t xml:space="preserve">incidents of </w:t>
            </w:r>
            <w:r w:rsidRPr="00F82848">
              <w:rPr>
                <w:sz w:val="20"/>
              </w:rPr>
              <w:t>intimidation. The complaint is</w:t>
            </w:r>
            <w:r w:rsidR="00ED242A">
              <w:rPr>
                <w:sz w:val="20"/>
              </w:rPr>
              <w:t xml:space="preserve"> currently</w:t>
            </w:r>
            <w:r w:rsidRPr="00F82848">
              <w:rPr>
                <w:sz w:val="20"/>
              </w:rPr>
              <w:t xml:space="preserve"> with the </w:t>
            </w:r>
            <w:r>
              <w:rPr>
                <w:sz w:val="20"/>
              </w:rPr>
              <w:t>o</w:t>
            </w:r>
            <w:r w:rsidRPr="00F82848">
              <w:rPr>
                <w:sz w:val="20"/>
              </w:rPr>
              <w:t>mbudsman function. Another complaint was submitted to CAO in 2014 in relation to Axzon, a pig farming and meat processing group with operations in Ukraine</w:t>
            </w:r>
            <w:r>
              <w:rPr>
                <w:sz w:val="20"/>
              </w:rPr>
              <w:t>, Poland</w:t>
            </w:r>
            <w:r w:rsidRPr="00F82848">
              <w:rPr>
                <w:sz w:val="20"/>
              </w:rPr>
              <w:t xml:space="preserve"> and Russia. Complainants raised issues regarding odo</w:t>
            </w:r>
            <w:r>
              <w:rPr>
                <w:sz w:val="20"/>
              </w:rPr>
              <w:t>u</w:t>
            </w:r>
            <w:r w:rsidRPr="00F82848">
              <w:rPr>
                <w:sz w:val="20"/>
              </w:rPr>
              <w:t>rs, land and water pollution</w:t>
            </w:r>
            <w:r>
              <w:rPr>
                <w:sz w:val="20"/>
              </w:rPr>
              <w:t>;</w:t>
            </w:r>
            <w:r w:rsidRPr="00F82848">
              <w:rPr>
                <w:sz w:val="20"/>
              </w:rPr>
              <w:t xml:space="preserve"> improper use </w:t>
            </w:r>
            <w:r>
              <w:rPr>
                <w:sz w:val="20"/>
              </w:rPr>
              <w:t xml:space="preserve">of </w:t>
            </w:r>
            <w:r w:rsidRPr="00F82848">
              <w:rPr>
                <w:sz w:val="20"/>
              </w:rPr>
              <w:t xml:space="preserve">and compensation </w:t>
            </w:r>
            <w:r>
              <w:rPr>
                <w:sz w:val="20"/>
              </w:rPr>
              <w:t>for</w:t>
            </w:r>
            <w:r w:rsidRPr="00F82848">
              <w:rPr>
                <w:sz w:val="20"/>
              </w:rPr>
              <w:t xml:space="preserve"> land</w:t>
            </w:r>
            <w:r>
              <w:rPr>
                <w:sz w:val="20"/>
              </w:rPr>
              <w:t>;</w:t>
            </w:r>
            <w:r w:rsidRPr="00F82848">
              <w:rPr>
                <w:sz w:val="20"/>
              </w:rPr>
              <w:t xml:space="preserve"> </w:t>
            </w:r>
            <w:r w:rsidR="001807CA">
              <w:rPr>
                <w:sz w:val="20"/>
              </w:rPr>
              <w:t xml:space="preserve">inadequate </w:t>
            </w:r>
            <w:r w:rsidRPr="00F82848">
              <w:rPr>
                <w:sz w:val="20"/>
              </w:rPr>
              <w:t>information disclosure and consultation</w:t>
            </w:r>
            <w:r>
              <w:rPr>
                <w:sz w:val="20"/>
              </w:rPr>
              <w:t>;</w:t>
            </w:r>
            <w:r w:rsidRPr="00F82848">
              <w:rPr>
                <w:sz w:val="20"/>
              </w:rPr>
              <w:t xml:space="preserve"> </w:t>
            </w:r>
            <w:r w:rsidR="001807CA">
              <w:rPr>
                <w:sz w:val="20"/>
              </w:rPr>
              <w:t xml:space="preserve">adverse </w:t>
            </w:r>
            <w:r w:rsidRPr="00F82848">
              <w:rPr>
                <w:sz w:val="20"/>
              </w:rPr>
              <w:t xml:space="preserve">impacts </w:t>
            </w:r>
            <w:r w:rsidR="001807CA">
              <w:rPr>
                <w:sz w:val="20"/>
              </w:rPr>
              <w:t>on</w:t>
            </w:r>
            <w:r w:rsidRPr="00F82848">
              <w:rPr>
                <w:sz w:val="20"/>
              </w:rPr>
              <w:t xml:space="preserve"> road infrastructure</w:t>
            </w:r>
            <w:r>
              <w:rPr>
                <w:sz w:val="20"/>
              </w:rPr>
              <w:t>;</w:t>
            </w:r>
            <w:r w:rsidRPr="00F82848">
              <w:rPr>
                <w:sz w:val="20"/>
              </w:rPr>
              <w:t xml:space="preserve"> and </w:t>
            </w:r>
            <w:r w:rsidR="00ED242A">
              <w:rPr>
                <w:sz w:val="20"/>
              </w:rPr>
              <w:t>degradation of</w:t>
            </w:r>
            <w:r w:rsidRPr="00F82848">
              <w:rPr>
                <w:sz w:val="20"/>
              </w:rPr>
              <w:t xml:space="preserve"> natural parks and other areas. While some complaints were resolved through the Ombudsman function, the remaining complaints are with Compliance.</w:t>
            </w:r>
            <w:r w:rsidRPr="00F82848">
              <w:t xml:space="preserve"> </w:t>
            </w:r>
          </w:p>
          <w:p w14:paraId="0DB42F13" w14:textId="77777777" w:rsidR="00F555E3" w:rsidRDefault="00F555E3" w:rsidP="00161CE5">
            <w:pPr>
              <w:pStyle w:val="Para0"/>
              <w:rPr>
                <w:sz w:val="20"/>
                <w:szCs w:val="20"/>
              </w:rPr>
            </w:pPr>
            <w:r w:rsidRPr="00AD6D40">
              <w:rPr>
                <w:sz w:val="20"/>
                <w:szCs w:val="20"/>
              </w:rPr>
              <w:t xml:space="preserve">In </w:t>
            </w:r>
            <w:r w:rsidRPr="00702304">
              <w:rPr>
                <w:b/>
                <w:sz w:val="20"/>
                <w:szCs w:val="20"/>
              </w:rPr>
              <w:t>Georgia</w:t>
            </w:r>
            <w:r w:rsidRPr="00AD6D40">
              <w:rPr>
                <w:sz w:val="20"/>
                <w:szCs w:val="20"/>
              </w:rPr>
              <w:t>, concerns were raised by the UN Working Group on BHR at the lack of social and environmental safeguards attached to the construction of hydro-power plants, the shortcomings of past environmental impact assessments, and potential impacts on groundwater levels, biodiversity, and safety issues for surrounding communities.</w:t>
            </w:r>
          </w:p>
          <w:p w14:paraId="547E976F" w14:textId="77777777" w:rsidR="00F555E3" w:rsidRPr="00AD6D40" w:rsidRDefault="00F555E3" w:rsidP="00702304">
            <w:pPr>
              <w:pStyle w:val="Sourcenotes"/>
            </w:pPr>
            <w:r w:rsidRPr="00C23E82">
              <w:rPr>
                <w:i/>
              </w:rPr>
              <w:lastRenderedPageBreak/>
              <w:t>Sources</w:t>
            </w:r>
            <w:r w:rsidRPr="00AD6D40">
              <w:t xml:space="preserve">: Office of the Compliance Advisory Ombudsman (CAO) of the IFC, no date </w:t>
            </w:r>
            <w:r>
              <w:t xml:space="preserve">and </w:t>
            </w:r>
            <w:r w:rsidRPr="00AD6D40">
              <w:t>2018a; UN Human Rights Special Procedures (2020); OECD Watch, NCP database (no date); UN WG (2019); UN Special Rapporteur on the rights of freedom of assembly and association (2018); Compliance Committee of the Aarhus Convention</w:t>
            </w:r>
            <w:r>
              <w:t>.</w:t>
            </w:r>
          </w:p>
        </w:tc>
      </w:tr>
    </w:tbl>
    <w:p w14:paraId="4E2174A0" w14:textId="77777777" w:rsidR="00F555E3" w:rsidRDefault="00F555E3" w:rsidP="00F555E3">
      <w:pPr>
        <w:pStyle w:val="Heading3"/>
      </w:pPr>
      <w:r>
        <w:lastRenderedPageBreak/>
        <w:t>Fundamental labour rights protections need to be strengthened in EaP countries</w:t>
      </w:r>
    </w:p>
    <w:p w14:paraId="7483EB00" w14:textId="77777777" w:rsidR="00F555E3" w:rsidRDefault="00F555E3" w:rsidP="00F555E3">
      <w:pPr>
        <w:pStyle w:val="Para0"/>
      </w:pPr>
      <w:r w:rsidRPr="004C5C17">
        <w:t>Chapter V of the Guidelines highlights the promotion of observance among enterprises of international labour standards, notably the fundamental principles and rights at work as recognised in the ILO Declaration on Fundamental Principles and Rights at Work</w:t>
      </w:r>
      <w:r>
        <w:t>. Businesses should respect the rights of workers to establish or join trade unions and representative organisations of their own choosing, to collective bargaining, and to adequate working conditions. They have a duty to operate free of child labour or forced labour, and to respect the principle of non-discrimination and equality in the workplace.</w:t>
      </w:r>
    </w:p>
    <w:p w14:paraId="03DB46C8" w14:textId="77777777" w:rsidR="00F555E3" w:rsidRDefault="00F555E3" w:rsidP="00F555E3">
      <w:pPr>
        <w:pStyle w:val="Para0"/>
      </w:pPr>
      <w:r>
        <w:t xml:space="preserve">The six EaP countries have varying degrees of respect for labour rights and industrial relations. Ratification of </w:t>
      </w:r>
      <w:r w:rsidRPr="00094354">
        <w:rPr>
          <w:i/>
        </w:rPr>
        <w:t>ILO Conventions</w:t>
      </w:r>
      <w:r>
        <w:t xml:space="preserve"> differs widely, from 18 ratifications in Georgia to 71 in Ukraine (Table 5.2). All countries have ratified the eight Fundamental Conventions, and most of the four Governance Conventions, with significantly more variation in the ratification of Technical Conventions. Concerns remain around implementation, however, and issues of occupational health and safety, labour inspection and freedom of association are at the forefront, as described in greater detail below.</w:t>
      </w:r>
    </w:p>
    <w:p w14:paraId="0E3709CD" w14:textId="2862BA7F" w:rsidR="00F555E3" w:rsidRDefault="00F555E3" w:rsidP="00F555E3">
      <w:pPr>
        <w:pStyle w:val="Caption"/>
      </w:pPr>
      <w:bookmarkStart w:id="170" w:name="_Toc31983269"/>
      <w:bookmarkStart w:id="171" w:name="_Toc31991388"/>
      <w:bookmarkStart w:id="172" w:name="_Toc33443321"/>
      <w:r>
        <w:t xml:space="preserve">Table </w:t>
      </w:r>
      <w:fldSimple w:instr=" STYLEREF 1 \s ">
        <w:r w:rsidR="00C23E82">
          <w:rPr>
            <w:noProof/>
          </w:rPr>
          <w:t>5</w:t>
        </w:r>
      </w:fldSimple>
      <w:r>
        <w:t>.</w:t>
      </w:r>
      <w:r>
        <w:rPr>
          <w:noProof/>
        </w:rPr>
        <w:fldChar w:fldCharType="begin"/>
      </w:r>
      <w:r>
        <w:rPr>
          <w:noProof/>
        </w:rPr>
        <w:instrText xml:space="preserve"> SEQ Table \* ARABIC \s 1 </w:instrText>
      </w:r>
      <w:r>
        <w:rPr>
          <w:noProof/>
        </w:rPr>
        <w:fldChar w:fldCharType="separate"/>
      </w:r>
      <w:r w:rsidR="00C23E82">
        <w:rPr>
          <w:noProof/>
        </w:rPr>
        <w:t>2</w:t>
      </w:r>
      <w:r>
        <w:rPr>
          <w:noProof/>
        </w:rPr>
        <w:fldChar w:fldCharType="end"/>
      </w:r>
      <w:r>
        <w:t>. Ratifications of ILO Conventions</w:t>
      </w:r>
      <w:bookmarkEnd w:id="170"/>
      <w:bookmarkEnd w:id="171"/>
      <w:bookmarkEnd w:id="172"/>
    </w:p>
    <w:tbl>
      <w:tblPr>
        <w:tblStyle w:val="OECD"/>
        <w:tblW w:w="7938" w:type="dxa"/>
        <w:tblLook w:val="0420" w:firstRow="1" w:lastRow="0" w:firstColumn="0" w:lastColumn="0" w:noHBand="0" w:noVBand="1"/>
      </w:tblPr>
      <w:tblGrid>
        <w:gridCol w:w="1843"/>
        <w:gridCol w:w="1523"/>
        <w:gridCol w:w="1524"/>
        <w:gridCol w:w="1524"/>
        <w:gridCol w:w="1524"/>
      </w:tblGrid>
      <w:tr w:rsidR="00F555E3" w:rsidRPr="00454399" w14:paraId="22042DDC" w14:textId="77777777" w:rsidTr="00161CE5">
        <w:trPr>
          <w:cnfStyle w:val="100000000000" w:firstRow="1" w:lastRow="0" w:firstColumn="0" w:lastColumn="0" w:oddVBand="0" w:evenVBand="0" w:oddHBand="0" w:evenHBand="0" w:firstRowFirstColumn="0" w:firstRowLastColumn="0" w:lastRowFirstColumn="0" w:lastRowLastColumn="0"/>
        </w:trPr>
        <w:tc>
          <w:tcPr>
            <w:tcW w:w="1843" w:type="dxa"/>
            <w:tcBorders>
              <w:bottom w:val="single" w:sz="4" w:space="0" w:color="auto"/>
            </w:tcBorders>
          </w:tcPr>
          <w:p w14:paraId="707FB837" w14:textId="77777777" w:rsidR="00F555E3" w:rsidRPr="00454399" w:rsidRDefault="00F555E3" w:rsidP="00161CE5">
            <w:pPr>
              <w:pStyle w:val="TableColumn"/>
              <w:jc w:val="left"/>
            </w:pPr>
            <w:r>
              <w:t>Country (member since)</w:t>
            </w:r>
          </w:p>
        </w:tc>
        <w:tc>
          <w:tcPr>
            <w:tcW w:w="1523" w:type="dxa"/>
            <w:tcBorders>
              <w:bottom w:val="single" w:sz="4" w:space="0" w:color="auto"/>
            </w:tcBorders>
          </w:tcPr>
          <w:p w14:paraId="6ECAFF67" w14:textId="77777777" w:rsidR="00F555E3" w:rsidRPr="00454399" w:rsidRDefault="00F555E3" w:rsidP="00161CE5">
            <w:pPr>
              <w:pStyle w:val="TableColumn"/>
            </w:pPr>
            <w:r>
              <w:t>Fundamental (8)</w:t>
            </w:r>
          </w:p>
        </w:tc>
        <w:tc>
          <w:tcPr>
            <w:tcW w:w="1524" w:type="dxa"/>
            <w:tcBorders>
              <w:bottom w:val="single" w:sz="4" w:space="0" w:color="auto"/>
            </w:tcBorders>
          </w:tcPr>
          <w:p w14:paraId="7CB50222" w14:textId="77777777" w:rsidR="00F555E3" w:rsidRPr="00454399" w:rsidRDefault="00F555E3" w:rsidP="00161CE5">
            <w:pPr>
              <w:pStyle w:val="TableColumn"/>
            </w:pPr>
            <w:r>
              <w:t>Governance (4)</w:t>
            </w:r>
          </w:p>
        </w:tc>
        <w:tc>
          <w:tcPr>
            <w:tcW w:w="1524" w:type="dxa"/>
            <w:tcBorders>
              <w:bottom w:val="single" w:sz="4" w:space="0" w:color="auto"/>
            </w:tcBorders>
          </w:tcPr>
          <w:p w14:paraId="471FCBF6" w14:textId="77777777" w:rsidR="00F555E3" w:rsidRPr="00454399" w:rsidRDefault="00F555E3" w:rsidP="00161CE5">
            <w:pPr>
              <w:pStyle w:val="TableColumn"/>
            </w:pPr>
            <w:r>
              <w:t>Technical (178)</w:t>
            </w:r>
          </w:p>
        </w:tc>
        <w:tc>
          <w:tcPr>
            <w:tcW w:w="1524" w:type="dxa"/>
            <w:tcBorders>
              <w:bottom w:val="single" w:sz="4" w:space="0" w:color="auto"/>
            </w:tcBorders>
          </w:tcPr>
          <w:p w14:paraId="29E06EB7" w14:textId="77777777" w:rsidR="00F555E3" w:rsidRPr="00454399" w:rsidRDefault="00F555E3" w:rsidP="00161CE5">
            <w:pPr>
              <w:pStyle w:val="TableColumn"/>
            </w:pPr>
            <w:r>
              <w:t>Total (190)</w:t>
            </w:r>
          </w:p>
        </w:tc>
      </w:tr>
      <w:tr w:rsidR="00F555E3" w:rsidRPr="00454399" w14:paraId="5334AE84" w14:textId="77777777" w:rsidTr="00161CE5">
        <w:trPr>
          <w:cnfStyle w:val="000000100000" w:firstRow="0" w:lastRow="0" w:firstColumn="0" w:lastColumn="0" w:oddVBand="0" w:evenVBand="0" w:oddHBand="1" w:evenHBand="0" w:firstRowFirstColumn="0" w:firstRowLastColumn="0" w:lastRowFirstColumn="0" w:lastRowLastColumn="0"/>
        </w:trPr>
        <w:tc>
          <w:tcPr>
            <w:tcW w:w="1843" w:type="dxa"/>
            <w:tcBorders>
              <w:top w:val="single" w:sz="4" w:space="0" w:color="auto"/>
            </w:tcBorders>
          </w:tcPr>
          <w:p w14:paraId="1560206C" w14:textId="77777777" w:rsidR="00F555E3" w:rsidRPr="00454399" w:rsidRDefault="00F555E3" w:rsidP="00161CE5">
            <w:pPr>
              <w:pStyle w:val="TableRow"/>
            </w:pPr>
            <w:r>
              <w:t>Armenia (1992)</w:t>
            </w:r>
          </w:p>
        </w:tc>
        <w:tc>
          <w:tcPr>
            <w:tcW w:w="1523" w:type="dxa"/>
            <w:tcBorders>
              <w:top w:val="single" w:sz="4" w:space="0" w:color="auto"/>
            </w:tcBorders>
          </w:tcPr>
          <w:p w14:paraId="23C89E5C" w14:textId="77777777" w:rsidR="00F555E3" w:rsidRPr="00454399" w:rsidRDefault="00F555E3" w:rsidP="00161CE5">
            <w:pPr>
              <w:pStyle w:val="TableCell"/>
              <w:jc w:val="center"/>
            </w:pPr>
            <w:r>
              <w:t>8</w:t>
            </w:r>
          </w:p>
        </w:tc>
        <w:tc>
          <w:tcPr>
            <w:tcW w:w="1524" w:type="dxa"/>
            <w:tcBorders>
              <w:top w:val="single" w:sz="4" w:space="0" w:color="auto"/>
            </w:tcBorders>
          </w:tcPr>
          <w:p w14:paraId="62700211" w14:textId="77777777" w:rsidR="00F555E3" w:rsidRPr="00454399" w:rsidRDefault="00F555E3" w:rsidP="00161CE5">
            <w:pPr>
              <w:pStyle w:val="TableCell"/>
              <w:jc w:val="center"/>
            </w:pPr>
            <w:r>
              <w:t>3</w:t>
            </w:r>
          </w:p>
        </w:tc>
        <w:tc>
          <w:tcPr>
            <w:tcW w:w="1524" w:type="dxa"/>
            <w:tcBorders>
              <w:top w:val="single" w:sz="4" w:space="0" w:color="auto"/>
            </w:tcBorders>
          </w:tcPr>
          <w:p w14:paraId="7E0C2D6C" w14:textId="77777777" w:rsidR="00F555E3" w:rsidRPr="00454399" w:rsidRDefault="00F555E3" w:rsidP="00161CE5">
            <w:pPr>
              <w:pStyle w:val="TableCell"/>
              <w:jc w:val="center"/>
            </w:pPr>
            <w:r>
              <w:t>18</w:t>
            </w:r>
          </w:p>
        </w:tc>
        <w:tc>
          <w:tcPr>
            <w:tcW w:w="1524" w:type="dxa"/>
            <w:tcBorders>
              <w:top w:val="single" w:sz="4" w:space="0" w:color="auto"/>
            </w:tcBorders>
          </w:tcPr>
          <w:p w14:paraId="343793FA" w14:textId="77777777" w:rsidR="00F555E3" w:rsidRPr="00454399" w:rsidRDefault="00F555E3" w:rsidP="00161CE5">
            <w:pPr>
              <w:pStyle w:val="TableCell"/>
              <w:jc w:val="center"/>
            </w:pPr>
            <w:r>
              <w:t>29</w:t>
            </w:r>
          </w:p>
        </w:tc>
      </w:tr>
      <w:tr w:rsidR="00F555E3" w:rsidRPr="00454399" w14:paraId="101BB4E9" w14:textId="77777777" w:rsidTr="00161CE5">
        <w:trPr>
          <w:cnfStyle w:val="000000010000" w:firstRow="0" w:lastRow="0" w:firstColumn="0" w:lastColumn="0" w:oddVBand="0" w:evenVBand="0" w:oddHBand="0" w:evenHBand="1" w:firstRowFirstColumn="0" w:firstRowLastColumn="0" w:lastRowFirstColumn="0" w:lastRowLastColumn="0"/>
        </w:trPr>
        <w:tc>
          <w:tcPr>
            <w:tcW w:w="1843" w:type="dxa"/>
          </w:tcPr>
          <w:p w14:paraId="2717EFD9" w14:textId="77777777" w:rsidR="00F555E3" w:rsidRPr="00454399" w:rsidRDefault="00F555E3" w:rsidP="00161CE5">
            <w:pPr>
              <w:pStyle w:val="TableRow"/>
            </w:pPr>
            <w:r>
              <w:t>Azerbaijan (1992)</w:t>
            </w:r>
          </w:p>
        </w:tc>
        <w:tc>
          <w:tcPr>
            <w:tcW w:w="1523" w:type="dxa"/>
          </w:tcPr>
          <w:p w14:paraId="5C590EE7" w14:textId="77777777" w:rsidR="00F555E3" w:rsidRPr="00454399" w:rsidRDefault="00F555E3" w:rsidP="00161CE5">
            <w:pPr>
              <w:pStyle w:val="TableCell"/>
              <w:jc w:val="center"/>
            </w:pPr>
            <w:r>
              <w:t>8</w:t>
            </w:r>
          </w:p>
        </w:tc>
        <w:tc>
          <w:tcPr>
            <w:tcW w:w="1524" w:type="dxa"/>
          </w:tcPr>
          <w:p w14:paraId="5F9DA129" w14:textId="77777777" w:rsidR="00F555E3" w:rsidRPr="00454399" w:rsidRDefault="00F555E3" w:rsidP="00161CE5">
            <w:pPr>
              <w:pStyle w:val="TableCell"/>
              <w:jc w:val="center"/>
            </w:pPr>
            <w:r>
              <w:t>4</w:t>
            </w:r>
          </w:p>
        </w:tc>
        <w:tc>
          <w:tcPr>
            <w:tcW w:w="1524" w:type="dxa"/>
          </w:tcPr>
          <w:p w14:paraId="3D3C9BA7" w14:textId="77777777" w:rsidR="00F555E3" w:rsidRPr="00454399" w:rsidRDefault="00F555E3" w:rsidP="00161CE5">
            <w:pPr>
              <w:pStyle w:val="TableCell"/>
              <w:jc w:val="center"/>
            </w:pPr>
            <w:r>
              <w:t>46</w:t>
            </w:r>
          </w:p>
        </w:tc>
        <w:tc>
          <w:tcPr>
            <w:tcW w:w="1524" w:type="dxa"/>
          </w:tcPr>
          <w:p w14:paraId="592C35E0" w14:textId="77777777" w:rsidR="00F555E3" w:rsidRPr="00454399" w:rsidRDefault="00F555E3" w:rsidP="00161CE5">
            <w:pPr>
              <w:pStyle w:val="TableCell"/>
              <w:jc w:val="center"/>
            </w:pPr>
            <w:r>
              <w:t>58</w:t>
            </w:r>
          </w:p>
        </w:tc>
      </w:tr>
      <w:tr w:rsidR="00F555E3" w:rsidRPr="00454399" w14:paraId="4C6D9B89" w14:textId="77777777" w:rsidTr="00161CE5">
        <w:trPr>
          <w:cnfStyle w:val="000000100000" w:firstRow="0" w:lastRow="0" w:firstColumn="0" w:lastColumn="0" w:oddVBand="0" w:evenVBand="0" w:oddHBand="1" w:evenHBand="0" w:firstRowFirstColumn="0" w:firstRowLastColumn="0" w:lastRowFirstColumn="0" w:lastRowLastColumn="0"/>
        </w:trPr>
        <w:tc>
          <w:tcPr>
            <w:tcW w:w="1843" w:type="dxa"/>
          </w:tcPr>
          <w:p w14:paraId="11F7FCA7" w14:textId="77777777" w:rsidR="00F555E3" w:rsidRPr="00454399" w:rsidRDefault="00F555E3" w:rsidP="00161CE5">
            <w:pPr>
              <w:pStyle w:val="TableRow"/>
            </w:pPr>
            <w:r>
              <w:t>Belarus (1954)</w:t>
            </w:r>
          </w:p>
        </w:tc>
        <w:tc>
          <w:tcPr>
            <w:tcW w:w="1523" w:type="dxa"/>
          </w:tcPr>
          <w:p w14:paraId="71A45A5F" w14:textId="77777777" w:rsidR="00F555E3" w:rsidRPr="00454399" w:rsidRDefault="00F555E3" w:rsidP="00161CE5">
            <w:pPr>
              <w:pStyle w:val="TableCell"/>
              <w:jc w:val="center"/>
            </w:pPr>
            <w:r>
              <w:t>8</w:t>
            </w:r>
          </w:p>
        </w:tc>
        <w:tc>
          <w:tcPr>
            <w:tcW w:w="1524" w:type="dxa"/>
          </w:tcPr>
          <w:p w14:paraId="492BE832" w14:textId="77777777" w:rsidR="00F555E3" w:rsidRPr="00454399" w:rsidRDefault="00F555E3" w:rsidP="00161CE5">
            <w:pPr>
              <w:pStyle w:val="TableCell"/>
              <w:jc w:val="center"/>
            </w:pPr>
            <w:r>
              <w:t>3</w:t>
            </w:r>
          </w:p>
        </w:tc>
        <w:tc>
          <w:tcPr>
            <w:tcW w:w="1524" w:type="dxa"/>
          </w:tcPr>
          <w:p w14:paraId="34779F68" w14:textId="77777777" w:rsidR="00F555E3" w:rsidRPr="00454399" w:rsidRDefault="00F555E3" w:rsidP="00161CE5">
            <w:pPr>
              <w:pStyle w:val="TableCell"/>
              <w:jc w:val="center"/>
            </w:pPr>
            <w:r>
              <w:t>38</w:t>
            </w:r>
          </w:p>
        </w:tc>
        <w:tc>
          <w:tcPr>
            <w:tcW w:w="1524" w:type="dxa"/>
          </w:tcPr>
          <w:p w14:paraId="6C2B1911" w14:textId="77777777" w:rsidR="00F555E3" w:rsidRPr="00454399" w:rsidRDefault="00F555E3" w:rsidP="00161CE5">
            <w:pPr>
              <w:pStyle w:val="TableCell"/>
              <w:jc w:val="center"/>
            </w:pPr>
            <w:r>
              <w:t>49</w:t>
            </w:r>
          </w:p>
        </w:tc>
      </w:tr>
      <w:tr w:rsidR="00F555E3" w:rsidRPr="00454399" w14:paraId="0F689B57" w14:textId="77777777" w:rsidTr="00161CE5">
        <w:trPr>
          <w:cnfStyle w:val="000000010000" w:firstRow="0" w:lastRow="0" w:firstColumn="0" w:lastColumn="0" w:oddVBand="0" w:evenVBand="0" w:oddHBand="0" w:evenHBand="1" w:firstRowFirstColumn="0" w:firstRowLastColumn="0" w:lastRowFirstColumn="0" w:lastRowLastColumn="0"/>
        </w:trPr>
        <w:tc>
          <w:tcPr>
            <w:tcW w:w="1843" w:type="dxa"/>
          </w:tcPr>
          <w:p w14:paraId="23F4A213" w14:textId="77777777" w:rsidR="00F555E3" w:rsidRDefault="00F555E3" w:rsidP="00161CE5">
            <w:pPr>
              <w:pStyle w:val="TableRow"/>
            </w:pPr>
            <w:r>
              <w:t>Georgia (1993)</w:t>
            </w:r>
          </w:p>
        </w:tc>
        <w:tc>
          <w:tcPr>
            <w:tcW w:w="1523" w:type="dxa"/>
          </w:tcPr>
          <w:p w14:paraId="7AFA7B6E" w14:textId="77777777" w:rsidR="00F555E3" w:rsidRPr="00454399" w:rsidRDefault="00F555E3" w:rsidP="00161CE5">
            <w:pPr>
              <w:pStyle w:val="TableCell"/>
              <w:jc w:val="center"/>
            </w:pPr>
            <w:r>
              <w:t>8</w:t>
            </w:r>
          </w:p>
        </w:tc>
        <w:tc>
          <w:tcPr>
            <w:tcW w:w="1524" w:type="dxa"/>
          </w:tcPr>
          <w:p w14:paraId="765E2491" w14:textId="77777777" w:rsidR="00F555E3" w:rsidRPr="00454399" w:rsidRDefault="00F555E3" w:rsidP="00161CE5">
            <w:pPr>
              <w:pStyle w:val="TableCell"/>
              <w:jc w:val="center"/>
            </w:pPr>
            <w:r>
              <w:t>2</w:t>
            </w:r>
          </w:p>
        </w:tc>
        <w:tc>
          <w:tcPr>
            <w:tcW w:w="1524" w:type="dxa"/>
          </w:tcPr>
          <w:p w14:paraId="14ADC763" w14:textId="77777777" w:rsidR="00F555E3" w:rsidRPr="00454399" w:rsidRDefault="00F555E3" w:rsidP="00161CE5">
            <w:pPr>
              <w:pStyle w:val="TableCell"/>
              <w:jc w:val="center"/>
            </w:pPr>
            <w:r>
              <w:t>8</w:t>
            </w:r>
          </w:p>
        </w:tc>
        <w:tc>
          <w:tcPr>
            <w:tcW w:w="1524" w:type="dxa"/>
          </w:tcPr>
          <w:p w14:paraId="69C6EC6A" w14:textId="77777777" w:rsidR="00F555E3" w:rsidRPr="00454399" w:rsidRDefault="00F555E3" w:rsidP="00161CE5">
            <w:pPr>
              <w:pStyle w:val="TableCell"/>
              <w:jc w:val="center"/>
            </w:pPr>
            <w:r>
              <w:t>18</w:t>
            </w:r>
          </w:p>
        </w:tc>
      </w:tr>
      <w:tr w:rsidR="00F555E3" w:rsidRPr="00454399" w14:paraId="07E6A112" w14:textId="77777777" w:rsidTr="00161CE5">
        <w:trPr>
          <w:cnfStyle w:val="000000100000" w:firstRow="0" w:lastRow="0" w:firstColumn="0" w:lastColumn="0" w:oddVBand="0" w:evenVBand="0" w:oddHBand="1" w:evenHBand="0" w:firstRowFirstColumn="0" w:firstRowLastColumn="0" w:lastRowFirstColumn="0" w:lastRowLastColumn="0"/>
        </w:trPr>
        <w:tc>
          <w:tcPr>
            <w:tcW w:w="1843" w:type="dxa"/>
          </w:tcPr>
          <w:p w14:paraId="3B1C239C" w14:textId="77777777" w:rsidR="00F555E3" w:rsidRPr="00454399" w:rsidRDefault="00F555E3" w:rsidP="00161CE5">
            <w:pPr>
              <w:pStyle w:val="TableRow"/>
            </w:pPr>
            <w:r>
              <w:t>Moldova (1992)</w:t>
            </w:r>
          </w:p>
        </w:tc>
        <w:tc>
          <w:tcPr>
            <w:tcW w:w="1523" w:type="dxa"/>
          </w:tcPr>
          <w:p w14:paraId="418EEAB1" w14:textId="77777777" w:rsidR="00F555E3" w:rsidRPr="00454399" w:rsidRDefault="00F555E3" w:rsidP="00161CE5">
            <w:pPr>
              <w:pStyle w:val="TableCell"/>
              <w:jc w:val="center"/>
            </w:pPr>
            <w:r>
              <w:t>8</w:t>
            </w:r>
          </w:p>
        </w:tc>
        <w:tc>
          <w:tcPr>
            <w:tcW w:w="1524" w:type="dxa"/>
          </w:tcPr>
          <w:p w14:paraId="22CE6C08" w14:textId="77777777" w:rsidR="00F555E3" w:rsidRPr="00454399" w:rsidRDefault="00F555E3" w:rsidP="00161CE5">
            <w:pPr>
              <w:pStyle w:val="TableCell"/>
              <w:jc w:val="center"/>
            </w:pPr>
            <w:r>
              <w:t>4</w:t>
            </w:r>
          </w:p>
        </w:tc>
        <w:tc>
          <w:tcPr>
            <w:tcW w:w="1524" w:type="dxa"/>
          </w:tcPr>
          <w:p w14:paraId="64133FAD" w14:textId="77777777" w:rsidR="00F555E3" w:rsidRPr="00454399" w:rsidRDefault="00F555E3" w:rsidP="00161CE5">
            <w:pPr>
              <w:pStyle w:val="TableCell"/>
              <w:jc w:val="center"/>
            </w:pPr>
            <w:r>
              <w:t>38</w:t>
            </w:r>
          </w:p>
        </w:tc>
        <w:tc>
          <w:tcPr>
            <w:tcW w:w="1524" w:type="dxa"/>
          </w:tcPr>
          <w:p w14:paraId="517EC8B5" w14:textId="77777777" w:rsidR="00F555E3" w:rsidRPr="00454399" w:rsidRDefault="00F555E3" w:rsidP="00161CE5">
            <w:pPr>
              <w:pStyle w:val="TableCell"/>
              <w:jc w:val="center"/>
            </w:pPr>
            <w:r>
              <w:t>42</w:t>
            </w:r>
          </w:p>
        </w:tc>
      </w:tr>
      <w:tr w:rsidR="00F555E3" w:rsidRPr="00454399" w14:paraId="0B0B0F16" w14:textId="77777777" w:rsidTr="00161CE5">
        <w:trPr>
          <w:cnfStyle w:val="000000010000" w:firstRow="0" w:lastRow="0" w:firstColumn="0" w:lastColumn="0" w:oddVBand="0" w:evenVBand="0" w:oddHBand="0" w:evenHBand="1" w:firstRowFirstColumn="0" w:firstRowLastColumn="0" w:lastRowFirstColumn="0" w:lastRowLastColumn="0"/>
        </w:trPr>
        <w:tc>
          <w:tcPr>
            <w:tcW w:w="1843" w:type="dxa"/>
          </w:tcPr>
          <w:p w14:paraId="35BDF6CC" w14:textId="77777777" w:rsidR="00F555E3" w:rsidRPr="00454399" w:rsidRDefault="00F555E3" w:rsidP="00161CE5">
            <w:pPr>
              <w:pStyle w:val="TableRow"/>
            </w:pPr>
            <w:r>
              <w:t>Ukraine (1954)</w:t>
            </w:r>
          </w:p>
        </w:tc>
        <w:tc>
          <w:tcPr>
            <w:tcW w:w="1523" w:type="dxa"/>
          </w:tcPr>
          <w:p w14:paraId="53B1BFFB" w14:textId="77777777" w:rsidR="00F555E3" w:rsidRPr="00454399" w:rsidRDefault="00F555E3" w:rsidP="00161CE5">
            <w:pPr>
              <w:pStyle w:val="TableCell"/>
              <w:jc w:val="center"/>
            </w:pPr>
            <w:r>
              <w:t>8</w:t>
            </w:r>
          </w:p>
        </w:tc>
        <w:tc>
          <w:tcPr>
            <w:tcW w:w="1524" w:type="dxa"/>
          </w:tcPr>
          <w:p w14:paraId="651EF226" w14:textId="77777777" w:rsidR="00F555E3" w:rsidRPr="00454399" w:rsidRDefault="00F555E3" w:rsidP="00161CE5">
            <w:pPr>
              <w:pStyle w:val="TableCell"/>
              <w:jc w:val="center"/>
            </w:pPr>
            <w:r>
              <w:t>4</w:t>
            </w:r>
          </w:p>
        </w:tc>
        <w:tc>
          <w:tcPr>
            <w:tcW w:w="1524" w:type="dxa"/>
          </w:tcPr>
          <w:p w14:paraId="6F3C8035" w14:textId="77777777" w:rsidR="00F555E3" w:rsidRPr="00454399" w:rsidRDefault="00F555E3" w:rsidP="00161CE5">
            <w:pPr>
              <w:pStyle w:val="TableCell"/>
              <w:jc w:val="center"/>
            </w:pPr>
            <w:r>
              <w:t>59</w:t>
            </w:r>
          </w:p>
        </w:tc>
        <w:tc>
          <w:tcPr>
            <w:tcW w:w="1524" w:type="dxa"/>
          </w:tcPr>
          <w:p w14:paraId="7F0F5A60" w14:textId="77777777" w:rsidR="00F555E3" w:rsidRPr="00454399" w:rsidRDefault="00F555E3" w:rsidP="00161CE5">
            <w:pPr>
              <w:pStyle w:val="TableCell"/>
              <w:jc w:val="center"/>
            </w:pPr>
            <w:r>
              <w:t>71</w:t>
            </w:r>
          </w:p>
        </w:tc>
      </w:tr>
    </w:tbl>
    <w:p w14:paraId="424E7C5C" w14:textId="77777777" w:rsidR="00F555E3" w:rsidRPr="00DA61F3" w:rsidRDefault="00F555E3" w:rsidP="00F555E3">
      <w:pPr>
        <w:pStyle w:val="Sourcenotes"/>
        <w:rPr>
          <w:lang w:val="fr-FR"/>
        </w:rPr>
      </w:pPr>
      <w:r w:rsidRPr="00DA61F3">
        <w:rPr>
          <w:i/>
          <w:lang w:val="fr-FR"/>
        </w:rPr>
        <w:t>Source</w:t>
      </w:r>
      <w:r w:rsidRPr="00DA61F3">
        <w:rPr>
          <w:lang w:val="fr-FR"/>
        </w:rPr>
        <w:t>: ILO (2020), https://www.ilo.org/dyn/normlex/en</w:t>
      </w:r>
      <w:r>
        <w:rPr>
          <w:lang w:val="fr-FR"/>
        </w:rPr>
        <w:t>.</w:t>
      </w:r>
    </w:p>
    <w:p w14:paraId="5805A632" w14:textId="77777777" w:rsidR="00F555E3" w:rsidRDefault="00F555E3" w:rsidP="00F555E3">
      <w:pPr>
        <w:pStyle w:val="Para0"/>
      </w:pPr>
      <w:r>
        <w:t>Georgia’s low ratification rate is coherent with the large deregulation reforms in the mid-2000s that led to a dramatic reduction in the safeguards for workers, with Georgia’s Labour Law assessed as the most deregulated among European and neighbouring countries (OHCHR, 2019c). Georgia’s relatively high Doing Business score (World Bank, 2020) was also criticised for failing to capture the lack of protection of workers’ rights. Since 2013, the government has however taken important steps to re-regulate and strengthen its protection of labour rights as discussed below. At the other end of the spectrum in terms of ratification, Ukraine’s existing economic priorities, and the pace at which they are conducted, are said to be testing the government’s willingness and ability to safeguard environmental and social standards, with all the consequences on responsible business conduct (OHCHR, 2019d). In December 2019, a draft labour law that was presented to parliament received criticism from national and international trade unions on both the content of the law and the rushed process through which it was drafted (ITUC 2019; EPSU, 2019).</w:t>
      </w:r>
    </w:p>
    <w:p w14:paraId="6BC59EA8" w14:textId="77777777" w:rsidR="00F555E3" w:rsidRPr="002B0B12" w:rsidRDefault="00F555E3" w:rsidP="00F555E3">
      <w:pPr>
        <w:pStyle w:val="Heading4"/>
      </w:pPr>
      <w:r w:rsidRPr="002B0B12">
        <w:lastRenderedPageBreak/>
        <w:t>Freedom of association and collective bargaining</w:t>
      </w:r>
    </w:p>
    <w:p w14:paraId="176492B6" w14:textId="77777777" w:rsidR="00F555E3" w:rsidRDefault="00F555E3" w:rsidP="00F555E3">
      <w:pPr>
        <w:pStyle w:val="Para0"/>
      </w:pPr>
      <w:r>
        <w:t xml:space="preserve">International human rights instruments and ILO Conventions recognise the rights to freedom of association (including forming or joining trade unions), to collective bargaining, and to strike. The Guidelines call on enterprises to respect the rights of workers employed by them to establish or join trade unions and representative organisations of their own choosing. Legislation of EaP countries recognise the rights, but sometimes with reservations in law or in practice (CoE, 2018a/b/c/d). </w:t>
      </w:r>
    </w:p>
    <w:p w14:paraId="085D1761" w14:textId="77777777" w:rsidR="00F555E3" w:rsidRDefault="00F555E3" w:rsidP="00F555E3">
      <w:pPr>
        <w:pStyle w:val="Para0"/>
      </w:pPr>
      <w:r>
        <w:t>Protection against discrimination because of membership in a trade union is an important aspect of the right to join trade unions. In Armenia and Georgia, the law explicitly protects against such discrimination. In Belarus, there is no such formal protection, leaving no explicit recourse to challenge a dismissal in court (United States, 2019). Overall, gaps remain in most countries: for instance, in Georgia and Moldova, effective remedies for the arbitrary dismissal of employees are reportedly missing (CoE, 2018d).</w:t>
      </w:r>
    </w:p>
    <w:p w14:paraId="76568DBF" w14:textId="77777777" w:rsidR="00F555E3" w:rsidRDefault="00F555E3" w:rsidP="00F555E3">
      <w:pPr>
        <w:pStyle w:val="Para0"/>
      </w:pPr>
      <w:r>
        <w:t>Trade unions have reported frequent barriers to collective bargaining and freedom of association, with the situation in Belarus and Azerbaijan being particularly challenging. For instance, in Belarus in recent years several trade unions were refused registration by the authorities, thus making it impossible for them to engage in collective bargaining. Restrictions on demonstrations by trade unions, arrests, and restrictions against trade union leaders have also been reported (United States, 2018; OHCHR, 2015a; OHCHR, 2018).</w:t>
      </w:r>
    </w:p>
    <w:p w14:paraId="7188CA5A" w14:textId="77777777" w:rsidR="00F555E3" w:rsidRPr="00115748" w:rsidRDefault="00F555E3" w:rsidP="00F555E3">
      <w:pPr>
        <w:pStyle w:val="Heading4"/>
      </w:pPr>
      <w:r>
        <w:t>Working</w:t>
      </w:r>
      <w:r w:rsidRPr="00115748">
        <w:t xml:space="preserve"> conditions </w:t>
      </w:r>
      <w:r>
        <w:t>and labour inspections</w:t>
      </w:r>
    </w:p>
    <w:p w14:paraId="27C7C32D" w14:textId="77777777" w:rsidR="00F555E3" w:rsidRDefault="00F555E3" w:rsidP="00F555E3">
      <w:pPr>
        <w:pStyle w:val="Para0"/>
      </w:pPr>
      <w:r w:rsidRPr="003B3BD1">
        <w:t>International standards maintain the right to decent work, including fair remuneration, reasonable working hours, paid leave, and occupational health and safety (O</w:t>
      </w:r>
      <w:r>
        <w:t>HCHR, 1966; CoE, 1996; ILO, 1919</w:t>
      </w:r>
      <w:r w:rsidRPr="003B3BD1">
        <w:t>-20</w:t>
      </w:r>
      <w:r>
        <w:t>19</w:t>
      </w:r>
      <w:r w:rsidRPr="003B3BD1">
        <w:t xml:space="preserve">). </w:t>
      </w:r>
      <w:r w:rsidRPr="000D0BC1">
        <w:t>All countries but Belarus are party to the European Social Charter, which establishes the right to just and fair working conditions (CoE, 1996).</w:t>
      </w:r>
    </w:p>
    <w:p w14:paraId="35975F27" w14:textId="247543FC" w:rsidR="00F555E3" w:rsidRDefault="00F555E3" w:rsidP="00F555E3">
      <w:pPr>
        <w:pStyle w:val="Para0"/>
      </w:pPr>
      <w:r w:rsidRPr="003B3BD1">
        <w:t xml:space="preserve">In </w:t>
      </w:r>
      <w:r>
        <w:t xml:space="preserve">most if not all </w:t>
      </w:r>
      <w:r w:rsidRPr="003B3BD1">
        <w:t>countries</w:t>
      </w:r>
      <w:r>
        <w:t>, there remains scope</w:t>
      </w:r>
      <w:r w:rsidRPr="005856A2">
        <w:t xml:space="preserve"> </w:t>
      </w:r>
      <w:r>
        <w:t xml:space="preserve">for greater </w:t>
      </w:r>
      <w:r w:rsidRPr="005856A2">
        <w:t xml:space="preserve">progress to ensure decent work, in particular with respect to working hours and health and safety conditions. The situation </w:t>
      </w:r>
      <w:r>
        <w:t xml:space="preserve">has been </w:t>
      </w:r>
      <w:r w:rsidRPr="005856A2">
        <w:t xml:space="preserve">particularly </w:t>
      </w:r>
      <w:r>
        <w:t>evident</w:t>
      </w:r>
      <w:r w:rsidRPr="005856A2">
        <w:t xml:space="preserve"> in extractive industries, with frequent accidents</w:t>
      </w:r>
      <w:r>
        <w:t xml:space="preserve"> reported</w:t>
      </w:r>
      <w:r w:rsidRPr="005856A2">
        <w:t xml:space="preserve"> at mines in Armenia, Georgia, and </w:t>
      </w:r>
      <w:r w:rsidRPr="00D83A4E">
        <w:t>Ukraine. In Ukraine, for instance, over 100 miners were killed in an explosion in 2007, and nine were killed in 2014 (BHRRC, 2014)</w:t>
      </w:r>
      <w:r>
        <w:t>; some progress has been made in recent years, however, as occupational fatalities have reached levels that are in line with the OECD average in 2018 (Table 5.3). The number of on-the-job fatalities remains, on the other hand</w:t>
      </w:r>
      <w:r w:rsidRPr="006451AE">
        <w:t>, significantly above the OECD average in Armenia and Moldova, and unreported in Georgia. In fact, prior to 2018, employers in Georgia were neither required to report accidents to labour inspectors nor to insure their workers. Significant</w:t>
      </w:r>
      <w:r w:rsidRPr="005856A2">
        <w:t xml:space="preserve"> steps have been taken in Georgia to address occupational hazard in the mining industry, including a new law in 2019 that mandates both preventive and remedial measures, as well as reporting of accidents by employers (Box 5.6).</w:t>
      </w:r>
      <w:r>
        <w:t xml:space="preserve"> The vast discrepancy between reported non-fatal injuries in EaP countries compared to the OECD average suggests that there is still significant under-reporting of occupational accidents in the former, particularly as regards less severe cases.</w:t>
      </w:r>
    </w:p>
    <w:p w14:paraId="0B2A31CA" w14:textId="0F3D09E0" w:rsidR="00F555E3" w:rsidRDefault="00F555E3" w:rsidP="00F555E3">
      <w:pPr>
        <w:pStyle w:val="Caption"/>
      </w:pPr>
      <w:bookmarkStart w:id="173" w:name="_Toc31983270"/>
      <w:bookmarkStart w:id="174" w:name="_Toc31991389"/>
      <w:bookmarkStart w:id="175" w:name="_Toc33443322"/>
      <w:r>
        <w:lastRenderedPageBreak/>
        <w:t xml:space="preserve">Table </w:t>
      </w:r>
      <w:fldSimple w:instr=" STYLEREF 1 \s ">
        <w:r w:rsidR="00C23E82">
          <w:rPr>
            <w:noProof/>
          </w:rPr>
          <w:t>5</w:t>
        </w:r>
      </w:fldSimple>
      <w:r>
        <w:t>.</w:t>
      </w:r>
      <w:r>
        <w:rPr>
          <w:noProof/>
        </w:rPr>
        <w:fldChar w:fldCharType="begin"/>
      </w:r>
      <w:r>
        <w:rPr>
          <w:noProof/>
        </w:rPr>
        <w:instrText xml:space="preserve"> SEQ Table \* ARABIC \s 1 </w:instrText>
      </w:r>
      <w:r>
        <w:rPr>
          <w:noProof/>
        </w:rPr>
        <w:fldChar w:fldCharType="separate"/>
      </w:r>
      <w:r w:rsidR="00C23E82">
        <w:rPr>
          <w:noProof/>
        </w:rPr>
        <w:t>3</w:t>
      </w:r>
      <w:r>
        <w:rPr>
          <w:noProof/>
        </w:rPr>
        <w:fldChar w:fldCharType="end"/>
      </w:r>
      <w:r>
        <w:t>. Reported occupational injuries in EaP countries</w:t>
      </w:r>
      <w:bookmarkEnd w:id="173"/>
      <w:bookmarkEnd w:id="174"/>
      <w:bookmarkEnd w:id="175"/>
    </w:p>
    <w:tbl>
      <w:tblPr>
        <w:tblStyle w:val="OECD"/>
        <w:tblW w:w="7938" w:type="dxa"/>
        <w:tblLook w:val="0420" w:firstRow="1" w:lastRow="0" w:firstColumn="0" w:lastColumn="0" w:noHBand="0" w:noVBand="1"/>
      </w:tblPr>
      <w:tblGrid>
        <w:gridCol w:w="1587"/>
        <w:gridCol w:w="3175"/>
        <w:gridCol w:w="3176"/>
      </w:tblGrid>
      <w:tr w:rsidR="00F555E3" w:rsidRPr="00454399" w14:paraId="6D5EF634" w14:textId="77777777" w:rsidTr="00161CE5">
        <w:trPr>
          <w:cnfStyle w:val="100000000000" w:firstRow="1" w:lastRow="0" w:firstColumn="0" w:lastColumn="0" w:oddVBand="0" w:evenVBand="0" w:oddHBand="0" w:evenHBand="0" w:firstRowFirstColumn="0" w:firstRowLastColumn="0" w:lastRowFirstColumn="0" w:lastRowLastColumn="0"/>
        </w:trPr>
        <w:tc>
          <w:tcPr>
            <w:tcW w:w="1587" w:type="dxa"/>
            <w:tcBorders>
              <w:bottom w:val="single" w:sz="4" w:space="0" w:color="auto"/>
            </w:tcBorders>
          </w:tcPr>
          <w:p w14:paraId="6CC4C4F5" w14:textId="77777777" w:rsidR="00F555E3" w:rsidRPr="00454399" w:rsidRDefault="00F555E3" w:rsidP="00161CE5">
            <w:pPr>
              <w:pStyle w:val="TableColumn"/>
            </w:pPr>
            <w:r>
              <w:t>Country</w:t>
            </w:r>
          </w:p>
        </w:tc>
        <w:tc>
          <w:tcPr>
            <w:tcW w:w="3175" w:type="dxa"/>
            <w:tcBorders>
              <w:bottom w:val="single" w:sz="4" w:space="0" w:color="auto"/>
            </w:tcBorders>
          </w:tcPr>
          <w:p w14:paraId="53C4DC25" w14:textId="77777777" w:rsidR="00F555E3" w:rsidRPr="00454399" w:rsidRDefault="00F555E3" w:rsidP="00161CE5">
            <w:pPr>
              <w:pStyle w:val="TableColumn"/>
            </w:pPr>
            <w:r>
              <w:t>Non-fatal injuries per 100 000 workers</w:t>
            </w:r>
          </w:p>
        </w:tc>
        <w:tc>
          <w:tcPr>
            <w:tcW w:w="3176" w:type="dxa"/>
            <w:tcBorders>
              <w:bottom w:val="single" w:sz="4" w:space="0" w:color="auto"/>
            </w:tcBorders>
          </w:tcPr>
          <w:p w14:paraId="423E5C12" w14:textId="77777777" w:rsidR="00F555E3" w:rsidRPr="00454399" w:rsidRDefault="00F555E3" w:rsidP="00161CE5">
            <w:pPr>
              <w:pStyle w:val="TableColumn"/>
            </w:pPr>
            <w:r>
              <w:t>Fatal injuries per 100 000 workers</w:t>
            </w:r>
          </w:p>
        </w:tc>
      </w:tr>
      <w:tr w:rsidR="00F555E3" w:rsidRPr="00454399" w14:paraId="237D00F4" w14:textId="77777777" w:rsidTr="00161CE5">
        <w:trPr>
          <w:cnfStyle w:val="000000100000" w:firstRow="0" w:lastRow="0" w:firstColumn="0" w:lastColumn="0" w:oddVBand="0" w:evenVBand="0" w:oddHBand="1" w:evenHBand="0" w:firstRowFirstColumn="0" w:firstRowLastColumn="0" w:lastRowFirstColumn="0" w:lastRowLastColumn="0"/>
        </w:trPr>
        <w:tc>
          <w:tcPr>
            <w:tcW w:w="1587" w:type="dxa"/>
            <w:tcBorders>
              <w:top w:val="single" w:sz="4" w:space="0" w:color="auto"/>
            </w:tcBorders>
          </w:tcPr>
          <w:p w14:paraId="6F1816A8" w14:textId="77777777" w:rsidR="00F555E3" w:rsidRPr="00454399" w:rsidRDefault="00F555E3" w:rsidP="00161CE5">
            <w:pPr>
              <w:pStyle w:val="TableRow"/>
            </w:pPr>
            <w:r>
              <w:t>Armenia</w:t>
            </w:r>
          </w:p>
        </w:tc>
        <w:tc>
          <w:tcPr>
            <w:tcW w:w="3175" w:type="dxa"/>
            <w:tcBorders>
              <w:top w:val="single" w:sz="4" w:space="0" w:color="auto"/>
            </w:tcBorders>
            <w:vAlign w:val="bottom"/>
          </w:tcPr>
          <w:p w14:paraId="0A2A2F49" w14:textId="77777777" w:rsidR="00F555E3" w:rsidRDefault="00F555E3" w:rsidP="00161CE5">
            <w:pPr>
              <w:pStyle w:val="TableCell"/>
              <w:jc w:val="center"/>
            </w:pPr>
            <w:r>
              <w:t>50.0</w:t>
            </w:r>
          </w:p>
        </w:tc>
        <w:tc>
          <w:tcPr>
            <w:tcW w:w="3176" w:type="dxa"/>
            <w:tcBorders>
              <w:top w:val="single" w:sz="4" w:space="0" w:color="auto"/>
            </w:tcBorders>
            <w:vAlign w:val="bottom"/>
          </w:tcPr>
          <w:p w14:paraId="0F64A790" w14:textId="77777777" w:rsidR="00F555E3" w:rsidRDefault="00F555E3" w:rsidP="00161CE5">
            <w:pPr>
              <w:pStyle w:val="TableCell"/>
              <w:jc w:val="center"/>
            </w:pPr>
            <w:r>
              <w:t>13.6</w:t>
            </w:r>
          </w:p>
        </w:tc>
      </w:tr>
      <w:tr w:rsidR="00F555E3" w:rsidRPr="00454399" w14:paraId="7204CC6D" w14:textId="77777777" w:rsidTr="00161CE5">
        <w:trPr>
          <w:cnfStyle w:val="000000010000" w:firstRow="0" w:lastRow="0" w:firstColumn="0" w:lastColumn="0" w:oddVBand="0" w:evenVBand="0" w:oddHBand="0" w:evenHBand="1" w:firstRowFirstColumn="0" w:firstRowLastColumn="0" w:lastRowFirstColumn="0" w:lastRowLastColumn="0"/>
        </w:trPr>
        <w:tc>
          <w:tcPr>
            <w:tcW w:w="1587" w:type="dxa"/>
          </w:tcPr>
          <w:p w14:paraId="0D9A489E" w14:textId="77777777" w:rsidR="00F555E3" w:rsidRPr="00454399" w:rsidRDefault="00F555E3" w:rsidP="00161CE5">
            <w:pPr>
              <w:pStyle w:val="TableRow"/>
            </w:pPr>
            <w:r>
              <w:t>Azerbaijan</w:t>
            </w:r>
          </w:p>
        </w:tc>
        <w:tc>
          <w:tcPr>
            <w:tcW w:w="3175" w:type="dxa"/>
            <w:vAlign w:val="bottom"/>
          </w:tcPr>
          <w:p w14:paraId="72E07CCF" w14:textId="77777777" w:rsidR="00F555E3" w:rsidRDefault="00F555E3" w:rsidP="00161CE5">
            <w:pPr>
              <w:pStyle w:val="TableCell"/>
              <w:jc w:val="center"/>
            </w:pPr>
            <w:r>
              <w:t>9.0</w:t>
            </w:r>
          </w:p>
        </w:tc>
        <w:tc>
          <w:tcPr>
            <w:tcW w:w="3176" w:type="dxa"/>
            <w:vAlign w:val="bottom"/>
          </w:tcPr>
          <w:p w14:paraId="2920FFDF" w14:textId="77777777" w:rsidR="00F555E3" w:rsidRDefault="00F555E3" w:rsidP="00161CE5">
            <w:pPr>
              <w:pStyle w:val="TableCell"/>
              <w:jc w:val="center"/>
            </w:pPr>
            <w:r>
              <w:t>3.0</w:t>
            </w:r>
          </w:p>
        </w:tc>
      </w:tr>
      <w:tr w:rsidR="00F555E3" w:rsidRPr="00454399" w14:paraId="0DEA64A0" w14:textId="77777777" w:rsidTr="00161CE5">
        <w:trPr>
          <w:cnfStyle w:val="000000100000" w:firstRow="0" w:lastRow="0" w:firstColumn="0" w:lastColumn="0" w:oddVBand="0" w:evenVBand="0" w:oddHBand="1" w:evenHBand="0" w:firstRowFirstColumn="0" w:firstRowLastColumn="0" w:lastRowFirstColumn="0" w:lastRowLastColumn="0"/>
        </w:trPr>
        <w:tc>
          <w:tcPr>
            <w:tcW w:w="1587" w:type="dxa"/>
          </w:tcPr>
          <w:p w14:paraId="3D235733" w14:textId="77777777" w:rsidR="00F555E3" w:rsidRPr="00454399" w:rsidRDefault="00F555E3" w:rsidP="00161CE5">
            <w:pPr>
              <w:pStyle w:val="TableRow"/>
            </w:pPr>
            <w:r>
              <w:t>Belarus</w:t>
            </w:r>
          </w:p>
        </w:tc>
        <w:tc>
          <w:tcPr>
            <w:tcW w:w="3175" w:type="dxa"/>
            <w:vAlign w:val="bottom"/>
          </w:tcPr>
          <w:p w14:paraId="0FD5250F" w14:textId="77777777" w:rsidR="00F555E3" w:rsidRDefault="00F555E3" w:rsidP="00161CE5">
            <w:pPr>
              <w:pStyle w:val="TableCell"/>
              <w:jc w:val="center"/>
            </w:pPr>
            <w:r>
              <w:t>46.7</w:t>
            </w:r>
          </w:p>
        </w:tc>
        <w:tc>
          <w:tcPr>
            <w:tcW w:w="3176" w:type="dxa"/>
            <w:vAlign w:val="bottom"/>
          </w:tcPr>
          <w:p w14:paraId="7EFB68A4" w14:textId="77777777" w:rsidR="00F555E3" w:rsidRDefault="00F555E3" w:rsidP="00161CE5">
            <w:pPr>
              <w:pStyle w:val="TableCell"/>
              <w:jc w:val="center"/>
            </w:pPr>
            <w:r>
              <w:t>2.8</w:t>
            </w:r>
          </w:p>
        </w:tc>
      </w:tr>
      <w:tr w:rsidR="00F555E3" w:rsidRPr="00454399" w14:paraId="76064ACC" w14:textId="77777777" w:rsidTr="00161CE5">
        <w:trPr>
          <w:cnfStyle w:val="000000010000" w:firstRow="0" w:lastRow="0" w:firstColumn="0" w:lastColumn="0" w:oddVBand="0" w:evenVBand="0" w:oddHBand="0" w:evenHBand="1" w:firstRowFirstColumn="0" w:firstRowLastColumn="0" w:lastRowFirstColumn="0" w:lastRowLastColumn="0"/>
        </w:trPr>
        <w:tc>
          <w:tcPr>
            <w:tcW w:w="1587" w:type="dxa"/>
          </w:tcPr>
          <w:p w14:paraId="74230A24" w14:textId="77777777" w:rsidR="00F555E3" w:rsidRPr="00454399" w:rsidRDefault="00F555E3" w:rsidP="00161CE5">
            <w:pPr>
              <w:pStyle w:val="TableRow"/>
            </w:pPr>
            <w:r>
              <w:t>Georgia</w:t>
            </w:r>
          </w:p>
        </w:tc>
        <w:tc>
          <w:tcPr>
            <w:tcW w:w="3175" w:type="dxa"/>
            <w:vAlign w:val="bottom"/>
          </w:tcPr>
          <w:p w14:paraId="7F48F3DF" w14:textId="77777777" w:rsidR="00F555E3" w:rsidRDefault="00F555E3" w:rsidP="00161CE5">
            <w:pPr>
              <w:pStyle w:val="TableCell"/>
              <w:jc w:val="center"/>
            </w:pPr>
            <w:r>
              <w:t>N/A</w:t>
            </w:r>
          </w:p>
        </w:tc>
        <w:tc>
          <w:tcPr>
            <w:tcW w:w="3176" w:type="dxa"/>
            <w:vAlign w:val="bottom"/>
          </w:tcPr>
          <w:p w14:paraId="2CC0A853" w14:textId="77777777" w:rsidR="00F555E3" w:rsidRDefault="00F555E3" w:rsidP="00161CE5">
            <w:pPr>
              <w:pStyle w:val="TableCell"/>
              <w:jc w:val="center"/>
            </w:pPr>
            <w:r>
              <w:t>N/A</w:t>
            </w:r>
          </w:p>
        </w:tc>
      </w:tr>
      <w:tr w:rsidR="00F555E3" w:rsidRPr="00454399" w14:paraId="75768192" w14:textId="77777777" w:rsidTr="00161CE5">
        <w:trPr>
          <w:cnfStyle w:val="000000100000" w:firstRow="0" w:lastRow="0" w:firstColumn="0" w:lastColumn="0" w:oddVBand="0" w:evenVBand="0" w:oddHBand="1" w:evenHBand="0" w:firstRowFirstColumn="0" w:firstRowLastColumn="0" w:lastRowFirstColumn="0" w:lastRowLastColumn="0"/>
        </w:trPr>
        <w:tc>
          <w:tcPr>
            <w:tcW w:w="1587" w:type="dxa"/>
          </w:tcPr>
          <w:p w14:paraId="6A705B5C" w14:textId="77777777" w:rsidR="00F555E3" w:rsidRPr="00454399" w:rsidRDefault="00F555E3" w:rsidP="00161CE5">
            <w:pPr>
              <w:pStyle w:val="TableRow"/>
            </w:pPr>
            <w:r>
              <w:t>Moldova</w:t>
            </w:r>
          </w:p>
        </w:tc>
        <w:tc>
          <w:tcPr>
            <w:tcW w:w="3175" w:type="dxa"/>
            <w:vAlign w:val="bottom"/>
          </w:tcPr>
          <w:p w14:paraId="736DBDF2" w14:textId="77777777" w:rsidR="00F555E3" w:rsidRDefault="00F555E3" w:rsidP="00161CE5">
            <w:pPr>
              <w:pStyle w:val="TableCell"/>
              <w:jc w:val="center"/>
            </w:pPr>
            <w:r>
              <w:t>72.0</w:t>
            </w:r>
          </w:p>
        </w:tc>
        <w:tc>
          <w:tcPr>
            <w:tcW w:w="3176" w:type="dxa"/>
            <w:vAlign w:val="bottom"/>
          </w:tcPr>
          <w:p w14:paraId="541CF1D6" w14:textId="77777777" w:rsidR="00F555E3" w:rsidRDefault="00F555E3" w:rsidP="00161CE5">
            <w:pPr>
              <w:pStyle w:val="TableCell"/>
              <w:jc w:val="center"/>
            </w:pPr>
            <w:r>
              <w:t>7.3</w:t>
            </w:r>
          </w:p>
        </w:tc>
      </w:tr>
      <w:tr w:rsidR="00F555E3" w:rsidRPr="00454399" w14:paraId="7DA27B66" w14:textId="77777777" w:rsidTr="00161CE5">
        <w:trPr>
          <w:cnfStyle w:val="000000010000" w:firstRow="0" w:lastRow="0" w:firstColumn="0" w:lastColumn="0" w:oddVBand="0" w:evenVBand="0" w:oddHBand="0" w:evenHBand="1" w:firstRowFirstColumn="0" w:firstRowLastColumn="0" w:lastRowFirstColumn="0" w:lastRowLastColumn="0"/>
        </w:trPr>
        <w:tc>
          <w:tcPr>
            <w:tcW w:w="1587" w:type="dxa"/>
          </w:tcPr>
          <w:p w14:paraId="5E55AE48" w14:textId="77777777" w:rsidR="00F555E3" w:rsidRPr="00454399" w:rsidRDefault="00F555E3" w:rsidP="00161CE5">
            <w:pPr>
              <w:pStyle w:val="TableRow"/>
            </w:pPr>
            <w:r>
              <w:t>Ukraine</w:t>
            </w:r>
          </w:p>
        </w:tc>
        <w:tc>
          <w:tcPr>
            <w:tcW w:w="3175" w:type="dxa"/>
            <w:vAlign w:val="bottom"/>
          </w:tcPr>
          <w:p w14:paraId="180BDDE5" w14:textId="77777777" w:rsidR="00F555E3" w:rsidRDefault="00F555E3" w:rsidP="00161CE5">
            <w:pPr>
              <w:pStyle w:val="TableCell"/>
              <w:jc w:val="center"/>
            </w:pPr>
            <w:r>
              <w:t>49.1</w:t>
            </w:r>
          </w:p>
        </w:tc>
        <w:tc>
          <w:tcPr>
            <w:tcW w:w="3176" w:type="dxa"/>
            <w:vAlign w:val="bottom"/>
          </w:tcPr>
          <w:p w14:paraId="1A4C5696" w14:textId="77777777" w:rsidR="00F555E3" w:rsidRDefault="00F555E3" w:rsidP="00161CE5">
            <w:pPr>
              <w:pStyle w:val="TableCell"/>
              <w:jc w:val="center"/>
            </w:pPr>
            <w:r>
              <w:t>3.6</w:t>
            </w:r>
          </w:p>
        </w:tc>
      </w:tr>
      <w:tr w:rsidR="00F555E3" w:rsidRPr="00454399" w14:paraId="1BCC8A2F" w14:textId="77777777" w:rsidTr="00161CE5">
        <w:trPr>
          <w:cnfStyle w:val="000000100000" w:firstRow="0" w:lastRow="0" w:firstColumn="0" w:lastColumn="0" w:oddVBand="0" w:evenVBand="0" w:oddHBand="1" w:evenHBand="0" w:firstRowFirstColumn="0" w:firstRowLastColumn="0" w:lastRowFirstColumn="0" w:lastRowLastColumn="0"/>
        </w:trPr>
        <w:tc>
          <w:tcPr>
            <w:tcW w:w="1587" w:type="dxa"/>
          </w:tcPr>
          <w:p w14:paraId="5D65001F" w14:textId="77777777" w:rsidR="00F555E3" w:rsidRPr="00454399" w:rsidRDefault="00F555E3" w:rsidP="00161CE5">
            <w:pPr>
              <w:pStyle w:val="TableRow"/>
            </w:pPr>
            <w:r>
              <w:t>OECD average</w:t>
            </w:r>
          </w:p>
        </w:tc>
        <w:tc>
          <w:tcPr>
            <w:tcW w:w="3175" w:type="dxa"/>
            <w:vAlign w:val="bottom"/>
          </w:tcPr>
          <w:p w14:paraId="06C2A013" w14:textId="77777777" w:rsidR="00F555E3" w:rsidRDefault="00F555E3" w:rsidP="00161CE5">
            <w:pPr>
              <w:pStyle w:val="TableCell"/>
              <w:jc w:val="center"/>
            </w:pPr>
            <w:r>
              <w:t>1455.5</w:t>
            </w:r>
          </w:p>
        </w:tc>
        <w:tc>
          <w:tcPr>
            <w:tcW w:w="3176" w:type="dxa"/>
            <w:vAlign w:val="bottom"/>
          </w:tcPr>
          <w:p w14:paraId="7383A136" w14:textId="77777777" w:rsidR="00F555E3" w:rsidRDefault="00F555E3" w:rsidP="00161CE5">
            <w:pPr>
              <w:pStyle w:val="TableCell"/>
              <w:jc w:val="center"/>
            </w:pPr>
            <w:r>
              <w:t>2.5</w:t>
            </w:r>
          </w:p>
        </w:tc>
      </w:tr>
    </w:tbl>
    <w:p w14:paraId="10DDE067" w14:textId="77777777" w:rsidR="00F555E3" w:rsidRDefault="00F555E3" w:rsidP="00F555E3">
      <w:pPr>
        <w:pStyle w:val="Sourcenotes"/>
      </w:pPr>
      <w:r w:rsidRPr="00454399">
        <w:rPr>
          <w:i/>
        </w:rPr>
        <w:t>Note</w:t>
      </w:r>
      <w:r>
        <w:t>: Data covers occupational injuries i</w:t>
      </w:r>
      <w:r w:rsidRPr="003B2D07">
        <w:t>ncluding cases of disease and of injury due to commuting accidents</w:t>
      </w:r>
      <w:r>
        <w:t>.</w:t>
      </w:r>
    </w:p>
    <w:p w14:paraId="2AF69328" w14:textId="390FFC73" w:rsidR="00F555E3" w:rsidRDefault="00F555E3" w:rsidP="00F555E3">
      <w:pPr>
        <w:pStyle w:val="Sourcenotes"/>
      </w:pPr>
      <w:r w:rsidRPr="00454399">
        <w:rPr>
          <w:i/>
        </w:rPr>
        <w:t>Source</w:t>
      </w:r>
      <w:r>
        <w:t>: ILO Statistics (2020)</w:t>
      </w:r>
      <w:r w:rsidR="00C23E82">
        <w:t>.</w:t>
      </w:r>
    </w:p>
    <w:p w14:paraId="507820CD" w14:textId="629F8788" w:rsidR="00F555E3" w:rsidRPr="00F727E9" w:rsidRDefault="00F555E3" w:rsidP="00F555E3">
      <w:pPr>
        <w:pStyle w:val="Para0"/>
      </w:pPr>
      <w:r w:rsidRPr="000D0BC1">
        <w:t>A related issue is that of labour inspection, which is crucial to prevent and detect potential violations of labour regulations in the workplace, and as such particularly important to ensure health and safety in the workplace (CoE, 2018c). All EaP countries with the exception of Georgia have ratified the ILO Convention on labour inspection (No.81), which requires governments to maintain a system of labour inspection in industrial workplaces. Georgia’s lack of a comprehensive system of health and safety</w:t>
      </w:r>
      <w:r w:rsidR="00C23E82">
        <w:t xml:space="preserve"> (see Box 5.6)</w:t>
      </w:r>
      <w:r w:rsidRPr="000D0BC1">
        <w:t>, including a functioning labour inspection system (since its abolition in 2006), has had bearings on occupational health and safety. Despite ratification of the ILO Convention No.81, in 2017, Azerbaijan proclaimed a moratorium on all labour inspections and a requirement to obtain permission for such inspections from the Ministries of Justice and Economy, which is said to be effective through 2021 (OHCHR, 2018).</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79CFC21F" w14:textId="77777777" w:rsidTr="00161CE5">
        <w:trPr>
          <w:jc w:val="center"/>
        </w:trPr>
        <w:tc>
          <w:tcPr>
            <w:tcW w:w="9309" w:type="dxa"/>
            <w:shd w:val="clear" w:color="auto" w:fill="E1E6EB"/>
          </w:tcPr>
          <w:p w14:paraId="2B8F25F3" w14:textId="4A177821" w:rsidR="00F555E3" w:rsidRDefault="00F555E3" w:rsidP="00161CE5">
            <w:pPr>
              <w:pStyle w:val="Caption"/>
              <w:keepLines/>
            </w:pPr>
            <w:bookmarkStart w:id="176" w:name="_Toc31983237"/>
            <w:bookmarkStart w:id="177" w:name="_Toc31991356"/>
            <w:bookmarkStart w:id="178" w:name="_Toc33443354"/>
            <w:r>
              <w:t xml:space="preserve">Box </w:t>
            </w:r>
            <w:fldSimple w:instr=" STYLEREF 1 \s ">
              <w:r w:rsidR="00DC4D16">
                <w:rPr>
                  <w:noProof/>
                </w:rPr>
                <w:t>5</w:t>
              </w:r>
            </w:fldSimple>
            <w:r>
              <w:t>.</w:t>
            </w:r>
            <w:r>
              <w:rPr>
                <w:noProof/>
              </w:rPr>
              <w:fldChar w:fldCharType="begin"/>
            </w:r>
            <w:r>
              <w:rPr>
                <w:noProof/>
              </w:rPr>
              <w:instrText xml:space="preserve"> SEQ Box \* ARABIC \s 1 </w:instrText>
            </w:r>
            <w:r>
              <w:rPr>
                <w:noProof/>
              </w:rPr>
              <w:fldChar w:fldCharType="separate"/>
            </w:r>
            <w:r w:rsidR="00DC4D16">
              <w:rPr>
                <w:noProof/>
              </w:rPr>
              <w:t>6</w:t>
            </w:r>
            <w:r>
              <w:rPr>
                <w:noProof/>
              </w:rPr>
              <w:fldChar w:fldCharType="end"/>
            </w:r>
            <w:r>
              <w:t>. Progress in occupational health and safety in Georgia</w:t>
            </w:r>
            <w:bookmarkEnd w:id="176"/>
            <w:bookmarkEnd w:id="177"/>
            <w:bookmarkEnd w:id="178"/>
          </w:p>
          <w:p w14:paraId="2DAFAE13" w14:textId="77777777" w:rsidR="00F555E3" w:rsidRPr="005856A2" w:rsidRDefault="00F555E3" w:rsidP="00161CE5">
            <w:pPr>
              <w:pStyle w:val="Para0"/>
              <w:keepNext/>
              <w:keepLines/>
              <w:rPr>
                <w:sz w:val="20"/>
              </w:rPr>
            </w:pPr>
            <w:r w:rsidRPr="00E2630B">
              <w:rPr>
                <w:sz w:val="20"/>
              </w:rPr>
              <w:t>In Georgia, over a thousand workers were injured an</w:t>
            </w:r>
            <w:r>
              <w:rPr>
                <w:sz w:val="20"/>
              </w:rPr>
              <w:t xml:space="preserve">d 418 killed, over 2010 to 2018 – although </w:t>
            </w:r>
            <w:r w:rsidRPr="00E2630B">
              <w:rPr>
                <w:sz w:val="20"/>
              </w:rPr>
              <w:t>the real number is likely to be higher since, prior to 2018, employers were neither required to report accidents to labour inspectors nor to insure their workers</w:t>
            </w:r>
            <w:r>
              <w:rPr>
                <w:sz w:val="20"/>
              </w:rPr>
              <w:t xml:space="preserve">. </w:t>
            </w:r>
            <w:r w:rsidRPr="00E2630B">
              <w:rPr>
                <w:sz w:val="20"/>
              </w:rPr>
              <w:t>The high number of accidents in the country has been attributed by NGOs to a lack of adequate regulations on occupational health and safety and on working hours</w:t>
            </w:r>
            <w:r>
              <w:rPr>
                <w:sz w:val="20"/>
              </w:rPr>
              <w:t>,</w:t>
            </w:r>
            <w:r w:rsidRPr="00E2630B">
              <w:rPr>
                <w:sz w:val="20"/>
              </w:rPr>
              <w:t xml:space="preserve"> combined with insufficient labour</w:t>
            </w:r>
            <w:r>
              <w:rPr>
                <w:sz w:val="20"/>
              </w:rPr>
              <w:t xml:space="preserve"> inspections, and compounded by the practice of p</w:t>
            </w:r>
            <w:r w:rsidRPr="00E2630B">
              <w:rPr>
                <w:sz w:val="20"/>
              </w:rPr>
              <w:t>rioritising production quotas in mining activities.</w:t>
            </w:r>
            <w:r>
              <w:rPr>
                <w:sz w:val="20"/>
              </w:rPr>
              <w:t xml:space="preserve"> L</w:t>
            </w:r>
            <w:r w:rsidRPr="005856A2">
              <w:rPr>
                <w:sz w:val="20"/>
              </w:rPr>
              <w:t>abour inspection has been a salient</w:t>
            </w:r>
            <w:r>
              <w:rPr>
                <w:sz w:val="20"/>
              </w:rPr>
              <w:t xml:space="preserve"> issue</w:t>
            </w:r>
            <w:r w:rsidRPr="005856A2">
              <w:rPr>
                <w:sz w:val="20"/>
              </w:rPr>
              <w:t xml:space="preserve"> </w:t>
            </w:r>
            <w:r>
              <w:rPr>
                <w:sz w:val="20"/>
              </w:rPr>
              <w:t xml:space="preserve">in Georgia </w:t>
            </w:r>
            <w:r w:rsidRPr="005856A2">
              <w:rPr>
                <w:sz w:val="20"/>
              </w:rPr>
              <w:t xml:space="preserve">since its abolishment in 2006. In 2015, the government established a Labour Conditions Inspection Department, </w:t>
            </w:r>
            <w:r>
              <w:rPr>
                <w:sz w:val="20"/>
              </w:rPr>
              <w:t xml:space="preserve">which </w:t>
            </w:r>
            <w:r w:rsidRPr="005856A2">
              <w:rPr>
                <w:sz w:val="20"/>
              </w:rPr>
              <w:t xml:space="preserve">however </w:t>
            </w:r>
            <w:r>
              <w:rPr>
                <w:sz w:val="20"/>
              </w:rPr>
              <w:t>presented</w:t>
            </w:r>
            <w:r w:rsidRPr="005856A2">
              <w:rPr>
                <w:sz w:val="20"/>
              </w:rPr>
              <w:t xml:space="preserve"> limitation</w:t>
            </w:r>
            <w:r>
              <w:rPr>
                <w:sz w:val="20"/>
              </w:rPr>
              <w:t>s. A</w:t>
            </w:r>
            <w:r w:rsidRPr="005856A2">
              <w:rPr>
                <w:sz w:val="20"/>
              </w:rPr>
              <w:t xml:space="preserve"> new Law on Labour Safety was introduced in 2018 to reinforce the mandate of labour inspectors, covering</w:t>
            </w:r>
            <w:r>
              <w:rPr>
                <w:sz w:val="20"/>
              </w:rPr>
              <w:t xml:space="preserve"> only</w:t>
            </w:r>
            <w:r w:rsidRPr="005856A2">
              <w:rPr>
                <w:sz w:val="20"/>
              </w:rPr>
              <w:t xml:space="preserve"> sectors identified as espec</w:t>
            </w:r>
            <w:r>
              <w:rPr>
                <w:sz w:val="20"/>
              </w:rPr>
              <w:t xml:space="preserve">ially hard, risky and hazardous, and thereby </w:t>
            </w:r>
            <w:r w:rsidRPr="005856A2">
              <w:rPr>
                <w:sz w:val="20"/>
              </w:rPr>
              <w:t>remain</w:t>
            </w:r>
            <w:r>
              <w:rPr>
                <w:sz w:val="20"/>
              </w:rPr>
              <w:t xml:space="preserve">ing </w:t>
            </w:r>
            <w:r w:rsidRPr="005856A2">
              <w:rPr>
                <w:sz w:val="20"/>
              </w:rPr>
              <w:t>limited in scope</w:t>
            </w:r>
            <w:r>
              <w:rPr>
                <w:sz w:val="20"/>
              </w:rPr>
              <w:t>.</w:t>
            </w:r>
          </w:p>
          <w:p w14:paraId="47B5DDBA" w14:textId="77777777" w:rsidR="00F555E3" w:rsidRDefault="00F555E3" w:rsidP="00161CE5">
            <w:pPr>
              <w:pStyle w:val="Para0"/>
              <w:keepNext/>
              <w:keepLines/>
              <w:rPr>
                <w:sz w:val="20"/>
              </w:rPr>
            </w:pPr>
            <w:r w:rsidRPr="00E2630B">
              <w:rPr>
                <w:sz w:val="20"/>
              </w:rPr>
              <w:t>In response to these concerns, in 2019 Georgia passed the Organic Law on Occupational Health and Safety, which includes both preventive and remedial measures, and mandates reporting of accidents by employers.</w:t>
            </w:r>
            <w:r>
              <w:rPr>
                <w:sz w:val="20"/>
              </w:rPr>
              <w:t xml:space="preserve"> </w:t>
            </w:r>
            <w:r w:rsidRPr="005856A2">
              <w:rPr>
                <w:sz w:val="20"/>
              </w:rPr>
              <w:t>The adoption of the 2019 Organic Law on occupational health and safety, further made the labour inspectorate a separate legal entity with the authority to inspect all sectors without a court order or prior notice, which is a welcome development. Further amendments to the Organic Law were made in 2019 to ensure that from 2022 onwards, inspectors will have a mandate to cover all sectors and the full range of labour rights.</w:t>
            </w:r>
          </w:p>
          <w:p w14:paraId="270805B5" w14:textId="77777777" w:rsidR="00F555E3" w:rsidRDefault="00F555E3" w:rsidP="00161CE5">
            <w:pPr>
              <w:pStyle w:val="Sourcenotes"/>
              <w:keepNext/>
            </w:pPr>
            <w:r w:rsidRPr="00E2630B">
              <w:rPr>
                <w:i/>
              </w:rPr>
              <w:t>Source</w:t>
            </w:r>
            <w:r>
              <w:t>: OHCHR</w:t>
            </w:r>
            <w:r w:rsidRPr="00E2630B">
              <w:t xml:space="preserve"> </w:t>
            </w:r>
            <w:r>
              <w:t>(</w:t>
            </w:r>
            <w:r w:rsidRPr="00E2630B">
              <w:t>2019</w:t>
            </w:r>
            <w:r>
              <w:t>c</w:t>
            </w:r>
            <w:r w:rsidRPr="00E2630B">
              <w:t>)</w:t>
            </w:r>
            <w:r>
              <w:t xml:space="preserve">; </w:t>
            </w:r>
            <w:r w:rsidRPr="00E2630B">
              <w:t xml:space="preserve">Public Defender of Georgia (2018); CoE </w:t>
            </w:r>
            <w:r>
              <w:t>(</w:t>
            </w:r>
            <w:r w:rsidRPr="00E2630B">
              <w:t>2018c</w:t>
            </w:r>
            <w:r>
              <w:t xml:space="preserve">); </w:t>
            </w:r>
            <w:r w:rsidRPr="00E2630B">
              <w:t xml:space="preserve">Human Rights Watch </w:t>
            </w:r>
            <w:r>
              <w:t>(</w:t>
            </w:r>
            <w:r w:rsidRPr="00E2630B">
              <w:t>2019b</w:t>
            </w:r>
            <w:r>
              <w:t>)</w:t>
            </w:r>
          </w:p>
        </w:tc>
      </w:tr>
    </w:tbl>
    <w:p w14:paraId="32572981" w14:textId="77777777" w:rsidR="00F555E3" w:rsidRPr="00115748" w:rsidRDefault="00F555E3" w:rsidP="00F555E3">
      <w:pPr>
        <w:pStyle w:val="Heading4"/>
      </w:pPr>
      <w:r>
        <w:t>Non-discrimination</w:t>
      </w:r>
    </w:p>
    <w:p w14:paraId="54E018A6" w14:textId="77777777" w:rsidR="00F555E3" w:rsidRPr="00115748" w:rsidRDefault="00F555E3" w:rsidP="00F555E3">
      <w:pPr>
        <w:pStyle w:val="Para0"/>
      </w:pPr>
      <w:r>
        <w:t>The</w:t>
      </w:r>
      <w:r w:rsidRPr="00115748">
        <w:t xml:space="preserve"> ILO Equal Remuneration Convention</w:t>
      </w:r>
      <w:r>
        <w:t xml:space="preserve"> of </w:t>
      </w:r>
      <w:r w:rsidRPr="0078700E">
        <w:t>1951 (No. 100)</w:t>
      </w:r>
      <w:r w:rsidRPr="00115748">
        <w:t xml:space="preserve"> ratified by all </w:t>
      </w:r>
      <w:r>
        <w:t>EaP</w:t>
      </w:r>
      <w:r w:rsidRPr="00115748">
        <w:t xml:space="preserve"> countries, calls upon </w:t>
      </w:r>
      <w:r>
        <w:t>s</w:t>
      </w:r>
      <w:r w:rsidRPr="00115748">
        <w:t xml:space="preserve">tates to ensure the application of the principle of equal remuneration for men </w:t>
      </w:r>
      <w:r w:rsidRPr="00115748">
        <w:lastRenderedPageBreak/>
        <w:t xml:space="preserve">and women for work of equal value. </w:t>
      </w:r>
      <w:r>
        <w:t>T</w:t>
      </w:r>
      <w:r w:rsidRPr="00115748">
        <w:t xml:space="preserve">he </w:t>
      </w:r>
      <w:r w:rsidRPr="00094354">
        <w:rPr>
          <w:i/>
        </w:rPr>
        <w:t>Guidelines</w:t>
      </w:r>
      <w:r>
        <w:rPr>
          <w:i/>
        </w:rPr>
        <w:t xml:space="preserve"> </w:t>
      </w:r>
      <w:r w:rsidRPr="0078700E">
        <w:t>uphold the corporate responsibility to ensure gender equality in the workplace. In</w:t>
      </w:r>
      <w:r w:rsidRPr="00115748">
        <w:t xml:space="preserve"> particular,</w:t>
      </w:r>
      <w:r w:rsidRPr="0078700E">
        <w:t xml:space="preserve"> “enterprises are expected to promote equal opportunities for women and men with special emphasis on equal criteria for selection, remuneration, and promotion, and equal application of those criteria, and prevent discrimination or dismissals on the grounds of marriage, pregnancy or parenthood.” (Ch.V, para 54)</w:t>
      </w:r>
      <w:r>
        <w:t>.</w:t>
      </w:r>
    </w:p>
    <w:p w14:paraId="341E6987" w14:textId="77777777" w:rsidR="00F555E3" w:rsidRPr="001A03D9" w:rsidRDefault="00F555E3" w:rsidP="00F555E3">
      <w:pPr>
        <w:pStyle w:val="Para0"/>
        <w:rPr>
          <w:color w:val="000000" w:themeColor="text1"/>
          <w:shd w:val="clear" w:color="auto" w:fill="FFFFFF"/>
        </w:rPr>
      </w:pPr>
      <w:r w:rsidRPr="00115748">
        <w:t xml:space="preserve">The significant gender pay gap and low representation of women in the market and in management positions have been noted as issues of concern in all </w:t>
      </w:r>
      <w:r>
        <w:t>six</w:t>
      </w:r>
      <w:r w:rsidRPr="00115748">
        <w:t xml:space="preserve"> countries. In Azerbaijan, women’s average monthly </w:t>
      </w:r>
      <w:r>
        <w:t>earnings were estimated to be 50% of men’s average monthly earnings in 2016</w:t>
      </w:r>
      <w:r w:rsidRPr="00115748">
        <w:t xml:space="preserve"> (</w:t>
      </w:r>
      <w:r>
        <w:t>CoE</w:t>
      </w:r>
      <w:r w:rsidRPr="00115748">
        <w:t xml:space="preserve">, 2018b). </w:t>
      </w:r>
      <w:r w:rsidRPr="00115748">
        <w:rPr>
          <w:color w:val="000000" w:themeColor="text1"/>
        </w:rPr>
        <w:t xml:space="preserve">In Armenia, the </w:t>
      </w:r>
      <w:r w:rsidRPr="00115748">
        <w:t>existence of a list of professions declared dangerous for women reinforc</w:t>
      </w:r>
      <w:r>
        <w:t>e occupational segregation (OHCHR</w:t>
      </w:r>
      <w:r w:rsidRPr="00115748">
        <w:t>, 2016). Similar restrictions were found in Belarus</w:t>
      </w:r>
      <w:r>
        <w:t xml:space="preserve"> in 2015</w:t>
      </w:r>
      <w:r w:rsidRPr="00115748">
        <w:rPr>
          <w:color w:val="000000" w:themeColor="text1"/>
          <w:shd w:val="clear" w:color="auto" w:fill="FFFFFF"/>
        </w:rPr>
        <w:t xml:space="preserve"> (</w:t>
      </w:r>
      <w:r>
        <w:rPr>
          <w:color w:val="000000" w:themeColor="text1"/>
          <w:shd w:val="clear" w:color="auto" w:fill="FFFFFF"/>
        </w:rPr>
        <w:t>OHCHR</w:t>
      </w:r>
      <w:r w:rsidRPr="00115748">
        <w:rPr>
          <w:color w:val="000000" w:themeColor="text1"/>
          <w:shd w:val="clear" w:color="auto" w:fill="FFFFFF"/>
        </w:rPr>
        <w:t>, 2015</w:t>
      </w:r>
      <w:r>
        <w:rPr>
          <w:color w:val="000000" w:themeColor="text1"/>
          <w:shd w:val="clear" w:color="auto" w:fill="FFFFFF"/>
        </w:rPr>
        <w:t>b</w:t>
      </w:r>
      <w:r w:rsidRPr="00115748">
        <w:rPr>
          <w:color w:val="000000" w:themeColor="text1"/>
          <w:shd w:val="clear" w:color="auto" w:fill="FFFFFF"/>
        </w:rPr>
        <w:t>).</w:t>
      </w:r>
      <w:r>
        <w:rPr>
          <w:color w:val="000000" w:themeColor="text1"/>
          <w:shd w:val="clear" w:color="auto" w:fill="FFFFFF"/>
        </w:rPr>
        <w:t xml:space="preserve"> </w:t>
      </w:r>
      <w:r w:rsidRPr="00115748">
        <w:t xml:space="preserve">UN human rights bodies, the ILO and </w:t>
      </w:r>
      <w:r>
        <w:t>the CoE</w:t>
      </w:r>
      <w:r w:rsidRPr="00115748">
        <w:t xml:space="preserve"> have </w:t>
      </w:r>
      <w:r>
        <w:t xml:space="preserve">all </w:t>
      </w:r>
      <w:r w:rsidRPr="00115748">
        <w:t>recommended t</w:t>
      </w:r>
      <w:r>
        <w:t>hat EaP</w:t>
      </w:r>
      <w:r w:rsidRPr="00115748">
        <w:t xml:space="preserve"> countries </w:t>
      </w:r>
      <w:r>
        <w:t xml:space="preserve">make greater progress toward gender equality in the workplace </w:t>
      </w:r>
      <w:r w:rsidRPr="00115748">
        <w:t>(</w:t>
      </w:r>
      <w:r>
        <w:t>CoE, 2018a/b/c/d/e; OHCHR, 2018</w:t>
      </w:r>
      <w:r w:rsidRPr="00115748">
        <w:t>).</w:t>
      </w:r>
      <w:r w:rsidRPr="00115748">
        <w:rPr>
          <w:position w:val="6"/>
        </w:rPr>
        <w:t xml:space="preserve"> </w:t>
      </w:r>
    </w:p>
    <w:p w14:paraId="0DC335FD" w14:textId="77777777" w:rsidR="00F555E3" w:rsidRDefault="00F555E3" w:rsidP="00F555E3">
      <w:pPr>
        <w:pStyle w:val="Para0"/>
      </w:pPr>
      <w:r w:rsidRPr="00115748">
        <w:t xml:space="preserve">Some progress has been made to amend the legal framework and incorporate a gender perspective into national sector policies in </w:t>
      </w:r>
      <w:r>
        <w:t xml:space="preserve">Georgia and </w:t>
      </w:r>
      <w:r w:rsidRPr="00115748">
        <w:t xml:space="preserve">Moldova. </w:t>
      </w:r>
      <w:r>
        <w:t>In Moldova, t</w:t>
      </w:r>
      <w:r w:rsidRPr="00115748">
        <w:t xml:space="preserve">he </w:t>
      </w:r>
      <w:r w:rsidRPr="00115748">
        <w:rPr>
          <w:color w:val="0A0A0A"/>
          <w:spacing w:val="4"/>
          <w:shd w:val="clear" w:color="auto" w:fill="FEFEFE"/>
        </w:rPr>
        <w:t xml:space="preserve">National Strategy on Ensuring Equality between women and men (2017-2021) </w:t>
      </w:r>
      <w:r w:rsidRPr="00115748">
        <w:t xml:space="preserve">aims to mainstream gender </w:t>
      </w:r>
      <w:r>
        <w:t xml:space="preserve">equality </w:t>
      </w:r>
      <w:r w:rsidRPr="00115748">
        <w:t>in a wide range of policy areas including health, social services, labo</w:t>
      </w:r>
      <w:r>
        <w:t>u</w:t>
      </w:r>
      <w:r w:rsidRPr="00115748">
        <w:t>r market, and political participation, as well as to adopt EU standards on equal pay for equal work (</w:t>
      </w:r>
      <w:r>
        <w:t>CoE</w:t>
      </w:r>
      <w:r w:rsidRPr="00115748">
        <w:t>, 2018d)</w:t>
      </w:r>
      <w:r>
        <w:t>.</w:t>
      </w:r>
      <w:r w:rsidRPr="00115748">
        <w:t xml:space="preserve"> In Georgia, the government has committed to amend the Labour Code to introduce the statutory guarantee of equal pay in the private sector, as is already the case in the public sector (</w:t>
      </w:r>
      <w:r>
        <w:t>CoE</w:t>
      </w:r>
      <w:r w:rsidRPr="00115748">
        <w:t xml:space="preserve">, 2018c). </w:t>
      </w:r>
      <w:r w:rsidRPr="00115748">
        <w:rPr>
          <w:color w:val="000000" w:themeColor="text1"/>
        </w:rPr>
        <w:t xml:space="preserve">As </w:t>
      </w:r>
      <w:r>
        <w:rPr>
          <w:color w:val="000000" w:themeColor="text1"/>
        </w:rPr>
        <w:t xml:space="preserve">previously </w:t>
      </w:r>
      <w:r w:rsidRPr="00115748">
        <w:rPr>
          <w:color w:val="000000" w:themeColor="text1"/>
        </w:rPr>
        <w:t xml:space="preserve">mentioned, UN Women has also actively engaged with businesses in Georgia over the Women’s Empowerment Principles, with 43 signatory companies </w:t>
      </w:r>
      <w:r>
        <w:rPr>
          <w:color w:val="000000" w:themeColor="text1"/>
        </w:rPr>
        <w:t>as of</w:t>
      </w:r>
      <w:r w:rsidRPr="00115748">
        <w:rPr>
          <w:color w:val="000000" w:themeColor="text1"/>
        </w:rPr>
        <w:t xml:space="preserve"> December 2019. It is unclear whether </w:t>
      </w:r>
      <w:r w:rsidRPr="00115748">
        <w:t>UN Women’s economic empowerment programs in Armenia, Azerbaijan and Moldova also engage with businesses. Given the large gender gap in the region,</w:t>
      </w:r>
      <w:r>
        <w:t xml:space="preserve"> implementing gender-equal policies and practices in SOEs, raising awareness and encouraging businesses to follow suit should be a priority</w:t>
      </w:r>
      <w:r w:rsidRPr="00115748">
        <w:rPr>
          <w:color w:val="000000" w:themeColor="text1"/>
        </w:rPr>
        <w:t>.</w:t>
      </w:r>
    </w:p>
    <w:p w14:paraId="14FAEB80" w14:textId="77777777" w:rsidR="00F555E3" w:rsidRDefault="00F555E3" w:rsidP="00F555E3">
      <w:pPr>
        <w:pStyle w:val="Heading3"/>
      </w:pPr>
      <w:r>
        <w:t>Environmental protection needs improvement</w:t>
      </w:r>
    </w:p>
    <w:p w14:paraId="79295700" w14:textId="77777777" w:rsidR="00F555E3" w:rsidRPr="00115748" w:rsidRDefault="00F555E3" w:rsidP="00F555E3">
      <w:pPr>
        <w:pStyle w:val="Para0"/>
        <w:rPr>
          <w:color w:val="000000" w:themeColor="text1"/>
        </w:rPr>
      </w:pPr>
      <w:r>
        <w:t>T</w:t>
      </w:r>
      <w:r w:rsidRPr="00115748">
        <w:t xml:space="preserve">he </w:t>
      </w:r>
      <w:r w:rsidRPr="00094354">
        <w:rPr>
          <w:i/>
        </w:rPr>
        <w:t>Guidelines</w:t>
      </w:r>
      <w:r w:rsidRPr="00115748">
        <w:t xml:space="preserve"> </w:t>
      </w:r>
      <w:r w:rsidRPr="00250268">
        <w:t xml:space="preserve">at Chapter VI </w:t>
      </w:r>
      <w:r w:rsidRPr="00115748">
        <w:t>call on enterprises to take due account of the need t</w:t>
      </w:r>
      <w:r>
        <w:t>o protect the environment</w:t>
      </w:r>
      <w:r w:rsidRPr="00115748">
        <w:t xml:space="preserve"> and to conduct their activities in a manner </w:t>
      </w:r>
      <w:r>
        <w:t xml:space="preserve">that </w:t>
      </w:r>
      <w:r w:rsidRPr="00115748">
        <w:t>contribut</w:t>
      </w:r>
      <w:r>
        <w:t>es</w:t>
      </w:r>
      <w:r w:rsidRPr="00115748">
        <w:t xml:space="preserve"> to wider sustainable development. This entails</w:t>
      </w:r>
      <w:r>
        <w:t xml:space="preserve">, among other responsibilities, </w:t>
      </w:r>
      <w:r w:rsidRPr="00115748">
        <w:t xml:space="preserve">establishing and maintaining appropriate environmental management systems; assessing and addressing the environmental impacts associated with the processes, goods and services </w:t>
      </w:r>
      <w:r w:rsidRPr="00115748">
        <w:rPr>
          <w:color w:val="000000" w:themeColor="text1"/>
        </w:rPr>
        <w:t xml:space="preserve">of the enterprise over their full life cycle with a view to avoiding or, when unavoidable, mitigating them; improving environmental performance; </w:t>
      </w:r>
      <w:r>
        <w:rPr>
          <w:color w:val="000000" w:themeColor="text1"/>
        </w:rPr>
        <w:t xml:space="preserve">and </w:t>
      </w:r>
      <w:r w:rsidRPr="00115748">
        <w:rPr>
          <w:color w:val="000000" w:themeColor="text1"/>
        </w:rPr>
        <w:t xml:space="preserve">being transparent about environmental impacts and risks. Governments should set clear expectations to business enterprises in this regard. </w:t>
      </w:r>
    </w:p>
    <w:p w14:paraId="41FBA278" w14:textId="77777777" w:rsidR="00F555E3" w:rsidRDefault="00F555E3" w:rsidP="00F555E3">
      <w:pPr>
        <w:pStyle w:val="Para0"/>
      </w:pPr>
      <w:r>
        <w:t xml:space="preserve">There is scope for greater progress in environmental protection in EaP countries, as highlighted by the relatively low ranking of some countries according to </w:t>
      </w:r>
      <w:r w:rsidRPr="00115748">
        <w:t>the 2018 Yale Environmental Performance Index. Belarus</w:t>
      </w:r>
      <w:r>
        <w:t xml:space="preserve"> (44</w:t>
      </w:r>
      <w:r w:rsidRPr="0009270B">
        <w:rPr>
          <w:vertAlign w:val="superscript"/>
        </w:rPr>
        <w:t>th</w:t>
      </w:r>
      <w:r>
        <w:t>)</w:t>
      </w:r>
      <w:r w:rsidRPr="00115748">
        <w:t xml:space="preserve"> ranks top of its peers, followed by Azerbaijan</w:t>
      </w:r>
      <w:r>
        <w:t xml:space="preserve"> (59</w:t>
      </w:r>
      <w:r w:rsidRPr="0009270B">
        <w:rPr>
          <w:vertAlign w:val="superscript"/>
        </w:rPr>
        <w:t>th</w:t>
      </w:r>
      <w:r>
        <w:t>) and Armenia (63</w:t>
      </w:r>
      <w:r w:rsidRPr="0009270B">
        <w:rPr>
          <w:vertAlign w:val="superscript"/>
        </w:rPr>
        <w:t>rd</w:t>
      </w:r>
      <w:r>
        <w:t>)</w:t>
      </w:r>
      <w:r w:rsidRPr="00115748">
        <w:rPr>
          <w:color w:val="000000" w:themeColor="text1"/>
        </w:rPr>
        <w:t xml:space="preserve">. </w:t>
      </w:r>
      <w:r>
        <w:rPr>
          <w:color w:val="000000" w:themeColor="text1"/>
        </w:rPr>
        <w:t xml:space="preserve">In </w:t>
      </w:r>
      <w:r>
        <w:t>Georgia (94</w:t>
      </w:r>
      <w:r w:rsidRPr="0009270B">
        <w:rPr>
          <w:vertAlign w:val="superscript"/>
        </w:rPr>
        <w:t>th</w:t>
      </w:r>
      <w:r>
        <w:t>),</w:t>
      </w:r>
      <w:r w:rsidRPr="00115748">
        <w:t xml:space="preserve"> environment</w:t>
      </w:r>
      <w:r>
        <w:t>al protection</w:t>
      </w:r>
      <w:r w:rsidRPr="00115748">
        <w:t xml:space="preserve"> </w:t>
      </w:r>
      <w:r>
        <w:t>(</w:t>
      </w:r>
      <w:r w:rsidRPr="00115748">
        <w:t>like labour protection</w:t>
      </w:r>
      <w:r>
        <w:t>)</w:t>
      </w:r>
      <w:r w:rsidRPr="00115748">
        <w:t xml:space="preserve"> went through a phase of </w:t>
      </w:r>
      <w:r>
        <w:t xml:space="preserve">massive </w:t>
      </w:r>
      <w:r w:rsidRPr="00115748">
        <w:t>de-regulation in 20</w:t>
      </w:r>
      <w:r>
        <w:t xml:space="preserve">11-2013, which </w:t>
      </w:r>
      <w:r w:rsidRPr="00115748">
        <w:t>aggravated environmental pollution and slowed down policy reforms</w:t>
      </w:r>
      <w:r>
        <w:t xml:space="preserve"> (UNECE, 2016b)</w:t>
      </w:r>
      <w:r w:rsidRPr="00115748">
        <w:t xml:space="preserve">. Since then positive steps have been taken to strengthen environmental governance, and in particular to harmonise policies with EU standards. This is </w:t>
      </w:r>
      <w:r>
        <w:t xml:space="preserve">to some degree </w:t>
      </w:r>
      <w:r w:rsidRPr="00115748">
        <w:t xml:space="preserve">the case </w:t>
      </w:r>
      <w:r>
        <w:t xml:space="preserve">also </w:t>
      </w:r>
      <w:r w:rsidRPr="00115748">
        <w:t xml:space="preserve">for Ukraine </w:t>
      </w:r>
      <w:r>
        <w:t>(109</w:t>
      </w:r>
      <w:r w:rsidRPr="0009270B">
        <w:rPr>
          <w:vertAlign w:val="superscript"/>
        </w:rPr>
        <w:t>th</w:t>
      </w:r>
      <w:r>
        <w:t>) and Moldova (112</w:t>
      </w:r>
      <w:r w:rsidRPr="0009270B">
        <w:rPr>
          <w:vertAlign w:val="superscript"/>
        </w:rPr>
        <w:t>th</w:t>
      </w:r>
      <w:r>
        <w:t>), thanks to</w:t>
      </w:r>
      <w:r w:rsidRPr="00115748">
        <w:t xml:space="preserve"> their obligations under the EU Associ</w:t>
      </w:r>
      <w:r>
        <w:t>ation</w:t>
      </w:r>
      <w:r w:rsidRPr="00115748">
        <w:t xml:space="preserve"> Agreements and support from the EU (</w:t>
      </w:r>
      <w:r>
        <w:t>EC, 2019b; EC, 2019d</w:t>
      </w:r>
      <w:r w:rsidRPr="00115748">
        <w:t>).</w:t>
      </w:r>
    </w:p>
    <w:p w14:paraId="6D94BF04" w14:textId="77777777" w:rsidR="00F555E3" w:rsidRPr="00115748" w:rsidRDefault="00F555E3" w:rsidP="00F555E3">
      <w:pPr>
        <w:pStyle w:val="Para0"/>
        <w:rPr>
          <w:color w:val="000000" w:themeColor="text1"/>
        </w:rPr>
      </w:pPr>
      <w:r w:rsidRPr="00115748">
        <w:lastRenderedPageBreak/>
        <w:t xml:space="preserve">A number of industries in </w:t>
      </w:r>
      <w:r>
        <w:t>EaP</w:t>
      </w:r>
      <w:r w:rsidRPr="00115748">
        <w:t xml:space="preserve"> countries have potentially significant </w:t>
      </w:r>
      <w:r w:rsidRPr="00085CD2">
        <w:rPr>
          <w:iCs/>
        </w:rPr>
        <w:t>environmental impacts</w:t>
      </w:r>
      <w:r w:rsidRPr="00115748">
        <w:t xml:space="preserve">, such as pollution of air, water, and land through the release of toxic waste or hazardous chemicals. </w:t>
      </w:r>
      <w:r>
        <w:t>I</w:t>
      </w:r>
      <w:r w:rsidRPr="00115748">
        <w:t xml:space="preserve">n Armenia, concerns have been raised </w:t>
      </w:r>
      <w:r>
        <w:t>over</w:t>
      </w:r>
      <w:r w:rsidRPr="00115748">
        <w:t xml:space="preserve"> threats from the mining and metal smelting industry, </w:t>
      </w:r>
      <w:r>
        <w:t xml:space="preserve">related to </w:t>
      </w:r>
      <w:r w:rsidRPr="00115748">
        <w:t>air pollution and heavy metal contamination of air, water, land and food</w:t>
      </w:r>
      <w:r>
        <w:t>, which in turn</w:t>
      </w:r>
      <w:r w:rsidRPr="00115748">
        <w:t xml:space="preserve"> </w:t>
      </w:r>
      <w:r>
        <w:t>present</w:t>
      </w:r>
      <w:r w:rsidRPr="00115748">
        <w:t xml:space="preserve"> substantial threat</w:t>
      </w:r>
      <w:r>
        <w:t>s</w:t>
      </w:r>
      <w:r w:rsidRPr="00115748">
        <w:t xml:space="preserve"> to human </w:t>
      </w:r>
      <w:r>
        <w:t>health (UN</w:t>
      </w:r>
      <w:r w:rsidRPr="00115748">
        <w:t xml:space="preserve"> UPR, 2019). In Ukraine, the agricultural sector contributes to severe environmental risks, including soil erosion, water pollution through nutrient and wastewater run-off, increased levels of potentially harmful pesticides, and climate change impacts (OECD, 2015</w:t>
      </w:r>
      <w:r>
        <w:t>c</w:t>
      </w:r>
      <w:r w:rsidRPr="00115748">
        <w:t xml:space="preserve">). In Belarus, exposure to hazardous chemicals for workers and the population living in the vicinity of mechanical and chemical manufacturing facilities is also a concern, prompting </w:t>
      </w:r>
      <w:r>
        <w:t>recommendations</w:t>
      </w:r>
      <w:r w:rsidRPr="00115748">
        <w:t xml:space="preserve"> to the government to perform biomonitoring of human health in industrial areas</w:t>
      </w:r>
      <w:r>
        <w:t xml:space="preserve"> (</w:t>
      </w:r>
      <w:r w:rsidRPr="00115748">
        <w:t>UNECE</w:t>
      </w:r>
      <w:r>
        <w:t>,</w:t>
      </w:r>
      <w:r w:rsidRPr="00115748">
        <w:t xml:space="preserve"> 2016a)</w:t>
      </w:r>
      <w:r w:rsidRPr="00115748">
        <w:rPr>
          <w:color w:val="000000" w:themeColor="text1"/>
        </w:rPr>
        <w:t>.</w:t>
      </w:r>
    </w:p>
    <w:p w14:paraId="7E70EC18" w14:textId="77777777" w:rsidR="00F555E3" w:rsidRPr="00115748" w:rsidRDefault="00F555E3" w:rsidP="00F555E3">
      <w:pPr>
        <w:pStyle w:val="Para0"/>
      </w:pPr>
      <w:r w:rsidRPr="00115748">
        <w:rPr>
          <w:color w:val="000000" w:themeColor="text1"/>
        </w:rPr>
        <w:t>In light of the major pot</w:t>
      </w:r>
      <w:r w:rsidRPr="00115748">
        <w:t>ential envir</w:t>
      </w:r>
      <w:r>
        <w:t>onmental impacts of industry</w:t>
      </w:r>
      <w:r w:rsidRPr="00115748">
        <w:t xml:space="preserve"> in </w:t>
      </w:r>
      <w:r>
        <w:t>EaP</w:t>
      </w:r>
      <w:r w:rsidRPr="00115748">
        <w:t xml:space="preserve"> countries, the use of </w:t>
      </w:r>
      <w:r w:rsidRPr="00085CD2">
        <w:rPr>
          <w:iCs/>
        </w:rPr>
        <w:t>environmental impact assessments</w:t>
      </w:r>
      <w:r>
        <w:rPr>
          <w:iCs/>
        </w:rPr>
        <w:t xml:space="preserve"> (EIAs)</w:t>
      </w:r>
      <w:r w:rsidRPr="00115748">
        <w:rPr>
          <w:i/>
          <w:iCs/>
        </w:rPr>
        <w:t xml:space="preserve"> </w:t>
      </w:r>
      <w:r w:rsidRPr="00115748">
        <w:t xml:space="preserve">is a crucial tool at the disposal of both governments and businesses. Steps have been taken to improve the overall poor quality of the EIAs </w:t>
      </w:r>
      <w:r>
        <w:t>in the region</w:t>
      </w:r>
      <w:r w:rsidRPr="00115748">
        <w:t xml:space="preserve">. In 2017, Georgia adopted a new </w:t>
      </w:r>
      <w:r>
        <w:t>EIA Code (OHCHR, 2019c), and</w:t>
      </w:r>
      <w:r w:rsidRPr="00115748">
        <w:t xml:space="preserve"> </w:t>
      </w:r>
      <w:r>
        <w:t>t</w:t>
      </w:r>
      <w:r w:rsidRPr="00115748">
        <w:t>here are plans to improve resources and capacities for enforcement, including through the adoption of a Law on Environmental Liability (</w:t>
      </w:r>
      <w:r>
        <w:t>EC</w:t>
      </w:r>
      <w:r w:rsidRPr="00115748">
        <w:t>, 2019</w:t>
      </w:r>
      <w:r>
        <w:t>a</w:t>
      </w:r>
      <w:r w:rsidRPr="00115748">
        <w:t xml:space="preserve">). In Ukraine, UNDP supported the creation of a Unified National </w:t>
      </w:r>
      <w:r>
        <w:t>EIA</w:t>
      </w:r>
      <w:r w:rsidRPr="00115748">
        <w:t xml:space="preserve"> Re</w:t>
      </w:r>
      <w:r>
        <w:t xml:space="preserve">gistry, in line with </w:t>
      </w:r>
      <w:r w:rsidRPr="00115748">
        <w:t>EU standards, to simpl</w:t>
      </w:r>
      <w:r>
        <w:t>if</w:t>
      </w:r>
      <w:r w:rsidRPr="00115748">
        <w:t xml:space="preserve">y the process and ensure transparency </w:t>
      </w:r>
      <w:r>
        <w:t>(UNDP, 2019)</w:t>
      </w:r>
      <w:r w:rsidRPr="00115748">
        <w:t xml:space="preserve">. The OECD </w:t>
      </w:r>
      <w:r>
        <w:t>has also been promoted</w:t>
      </w:r>
      <w:r w:rsidRPr="00115748">
        <w:t xml:space="preserve"> the use of </w:t>
      </w:r>
      <w:r>
        <w:t>EIAs, and supported</w:t>
      </w:r>
      <w:r w:rsidRPr="00115748">
        <w:t xml:space="preserve"> environmental inspectorates to improve their performance</w:t>
      </w:r>
      <w:r>
        <w:t xml:space="preserve"> (OECD, </w:t>
      </w:r>
      <w:r w:rsidRPr="00115748">
        <w:t xml:space="preserve">2016a). </w:t>
      </w:r>
    </w:p>
    <w:p w14:paraId="4D1E476F" w14:textId="77777777" w:rsidR="00F555E3" w:rsidRPr="0078082E" w:rsidRDefault="00F555E3" w:rsidP="00F555E3">
      <w:pPr>
        <w:pStyle w:val="Para0"/>
      </w:pPr>
      <w:r w:rsidRPr="00115748">
        <w:t xml:space="preserve">Related to </w:t>
      </w:r>
      <w:r>
        <w:t>EIAs</w:t>
      </w:r>
      <w:r w:rsidRPr="00115748">
        <w:t xml:space="preserve"> is </w:t>
      </w:r>
      <w:r w:rsidRPr="00085CD2">
        <w:rPr>
          <w:iCs/>
        </w:rPr>
        <w:t>public access to information</w:t>
      </w:r>
      <w:r w:rsidRPr="00085CD2">
        <w:t xml:space="preserve"> </w:t>
      </w:r>
      <w:r w:rsidRPr="00115748">
        <w:t xml:space="preserve">on environmental matters. All </w:t>
      </w:r>
      <w:r>
        <w:t>EaP</w:t>
      </w:r>
      <w:r w:rsidRPr="00115748">
        <w:t xml:space="preserve"> </w:t>
      </w:r>
      <w:r>
        <w:t>countries</w:t>
      </w:r>
      <w:r w:rsidRPr="00115748">
        <w:t xml:space="preserve"> have ratified the </w:t>
      </w:r>
      <w:hyperlink r:id="rId45" w:tooltip="Opens internal link in current window" w:history="1">
        <w:r w:rsidRPr="00115748">
          <w:t>Aarhus Convention</w:t>
        </w:r>
      </w:hyperlink>
      <w:r w:rsidRPr="00115748">
        <w:t>, which recogni</w:t>
      </w:r>
      <w:r>
        <w:t>s</w:t>
      </w:r>
      <w:r w:rsidRPr="00115748">
        <w:t>es people’s rights to access information and to participate in decision-making in environmental matters. Business</w:t>
      </w:r>
      <w:r>
        <w:t>es</w:t>
      </w:r>
      <w:r w:rsidRPr="00115748">
        <w:t xml:space="preserve"> have a concomitant responsibility to communicate to stakeholders about the environmental risks of their operations. </w:t>
      </w:r>
      <w:r>
        <w:t>C</w:t>
      </w:r>
      <w:r w:rsidRPr="00115748">
        <w:t xml:space="preserve">ases </w:t>
      </w:r>
      <w:r>
        <w:t xml:space="preserve">reported </w:t>
      </w:r>
      <w:r w:rsidRPr="00115748">
        <w:t xml:space="preserve">by civil society before international </w:t>
      </w:r>
      <w:r>
        <w:t xml:space="preserve">accountability </w:t>
      </w:r>
      <w:r w:rsidRPr="00115748">
        <w:t xml:space="preserve">mechanisms reveal that increased efforts are needed to ensure the public has full access to environmental information in matters that concern them. </w:t>
      </w:r>
    </w:p>
    <w:p w14:paraId="1DA74AC3" w14:textId="77777777" w:rsidR="00F555E3" w:rsidRDefault="00F555E3" w:rsidP="00F555E3">
      <w:pPr>
        <w:pStyle w:val="Heading3"/>
      </w:pPr>
      <w:r>
        <w:t>Corruption remains one of the main obstacles to doing business</w:t>
      </w:r>
    </w:p>
    <w:p w14:paraId="35EBE1B9" w14:textId="4255BFDB" w:rsidR="00F555E3" w:rsidRDefault="00F555E3" w:rsidP="00F555E3">
      <w:pPr>
        <w:pStyle w:val="Para0"/>
      </w:pPr>
      <w:r w:rsidRPr="006441B6">
        <w:t>The fight against corrupt</w:t>
      </w:r>
      <w:r>
        <w:t>ion is an important agenda for g</w:t>
      </w:r>
      <w:r w:rsidRPr="006441B6">
        <w:t xml:space="preserve">overnments, as bribery and corruption can discourage investment, erode democratic institutions, hinder </w:t>
      </w:r>
      <w:r>
        <w:t xml:space="preserve">RBC </w:t>
      </w:r>
      <w:r w:rsidRPr="006441B6">
        <w:t xml:space="preserve">practices, and </w:t>
      </w:r>
      <w:r>
        <w:t>slow down progress toward</w:t>
      </w:r>
      <w:r w:rsidRPr="006441B6">
        <w:t xml:space="preserve"> development goals. </w:t>
      </w:r>
      <w:r w:rsidRPr="00E126DE">
        <w:t>Companies ha</w:t>
      </w:r>
      <w:r>
        <w:t xml:space="preserve">ve an important role </w:t>
      </w:r>
      <w:r w:rsidRPr="006441B6">
        <w:t xml:space="preserve">in </w:t>
      </w:r>
      <w:r w:rsidRPr="00E126DE">
        <w:t xml:space="preserve">contributing to </w:t>
      </w:r>
      <w:r>
        <w:t>it</w:t>
      </w:r>
      <w:r w:rsidRPr="00E126DE">
        <w:t>. The OECD</w:t>
      </w:r>
      <w:r w:rsidRPr="00D63BC5">
        <w:rPr>
          <w:i/>
        </w:rPr>
        <w:t xml:space="preserve"> Guidelines</w:t>
      </w:r>
      <w:r w:rsidRPr="00E126DE">
        <w:t xml:space="preserve"> recognise this role. Enterprises should not,</w:t>
      </w:r>
      <w:r w:rsidRPr="006441B6">
        <w:t xml:space="preserve"> directly or indirectly</w:t>
      </w:r>
      <w:r w:rsidRPr="00E126DE">
        <w:t xml:space="preserve">, offer, promise, give, </w:t>
      </w:r>
      <w:r>
        <w:t xml:space="preserve">or </w:t>
      </w:r>
      <w:r w:rsidRPr="00E126DE">
        <w:t>demand</w:t>
      </w:r>
      <w:r w:rsidRPr="006441B6">
        <w:t xml:space="preserve"> a bribe</w:t>
      </w:r>
      <w:r w:rsidRPr="00E126DE">
        <w:t xml:space="preserve"> or other undue advantage to obtain or retain business or other improper a</w:t>
      </w:r>
      <w:r w:rsidRPr="008D0BF4">
        <w:rPr>
          <w:i/>
        </w:rPr>
        <w:t xml:space="preserve">dvantage, and should also resist the solicitation of bribes and extortion. </w:t>
      </w:r>
      <w:r w:rsidRPr="008D0BF4">
        <w:t>Chapter VII of the</w:t>
      </w:r>
      <w:r w:rsidRPr="008D0BF4">
        <w:rPr>
          <w:i/>
        </w:rPr>
        <w:t xml:space="preserve"> Guidelines </w:t>
      </w:r>
      <w:r w:rsidRPr="00E126DE">
        <w:t>calls for enterprises to develop and adopt adequate internal controls, ethics and compliance programmes or measures for preventing and detecting bribery through a risk-based approach.</w:t>
      </w:r>
      <w:r w:rsidRPr="00CC3CE9">
        <w:t xml:space="preserve"> All six </w:t>
      </w:r>
      <w:r>
        <w:t>EaP</w:t>
      </w:r>
      <w:r w:rsidR="00521C69">
        <w:t xml:space="preserve"> countrie</w:t>
      </w:r>
      <w:r>
        <w:t>s</w:t>
      </w:r>
      <w:r w:rsidRPr="00CC3CE9">
        <w:t xml:space="preserve"> have ratified the UN Convention against Corruption and Council of Europe’s Criminal Law Convention on Corruption.</w:t>
      </w:r>
    </w:p>
    <w:p w14:paraId="353F499A" w14:textId="7544E88B" w:rsidR="00F555E3" w:rsidRDefault="00F555E3" w:rsidP="00F555E3">
      <w:pPr>
        <w:pStyle w:val="Para0"/>
      </w:pPr>
      <w:r>
        <w:t>Despite noticeable efforts in the fight against corruption (Box 5.7), corruption</w:t>
      </w:r>
      <w:r w:rsidRPr="006441B6">
        <w:t xml:space="preserve"> remains an important constraint for doing business</w:t>
      </w:r>
      <w:r>
        <w:t xml:space="preserve"> in the region</w:t>
      </w:r>
      <w:r w:rsidRPr="006441B6">
        <w:t xml:space="preserve">. </w:t>
      </w:r>
      <w:r>
        <w:t>T</w:t>
      </w:r>
      <w:r w:rsidRPr="006441B6">
        <w:t xml:space="preserve">he </w:t>
      </w:r>
      <w:r>
        <w:t xml:space="preserve">2018 </w:t>
      </w:r>
      <w:r w:rsidRPr="006441B6">
        <w:t>Transparency International Corruption Pe</w:t>
      </w:r>
      <w:r>
        <w:t xml:space="preserve">rception Index suggests that </w:t>
      </w:r>
      <w:r w:rsidRPr="006441B6">
        <w:t xml:space="preserve">the level of corruption </w:t>
      </w:r>
      <w:r>
        <w:t>in</w:t>
      </w:r>
      <w:r w:rsidRPr="006441B6">
        <w:t xml:space="preserve"> the six countries </w:t>
      </w:r>
      <w:r>
        <w:t>is relatively high</w:t>
      </w:r>
      <w:r w:rsidRPr="006441B6">
        <w:t xml:space="preserve">, with only three countries </w:t>
      </w:r>
      <w:r>
        <w:t xml:space="preserve">scoring </w:t>
      </w:r>
      <w:r w:rsidRPr="006441B6">
        <w:t>above the global average of 43 points (with 100 being the best)</w:t>
      </w:r>
      <w:r>
        <w:t>, including</w:t>
      </w:r>
      <w:r w:rsidRPr="006441B6">
        <w:t xml:space="preserve"> Georgia </w:t>
      </w:r>
      <w:r>
        <w:t>(</w:t>
      </w:r>
      <w:r w:rsidRPr="006441B6">
        <w:t>58</w:t>
      </w:r>
      <w:r>
        <w:t>)</w:t>
      </w:r>
      <w:r w:rsidRPr="006441B6">
        <w:t xml:space="preserve">, </w:t>
      </w:r>
      <w:r>
        <w:t>Moldova</w:t>
      </w:r>
      <w:r w:rsidRPr="006441B6">
        <w:t xml:space="preserve"> (45)</w:t>
      </w:r>
      <w:r>
        <w:t>,</w:t>
      </w:r>
      <w:r w:rsidRPr="006441B6">
        <w:t xml:space="preserve"> and Belarus (44).</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6F5D095B" w14:textId="77777777" w:rsidTr="00161CE5">
        <w:trPr>
          <w:jc w:val="center"/>
        </w:trPr>
        <w:tc>
          <w:tcPr>
            <w:tcW w:w="9309" w:type="dxa"/>
            <w:shd w:val="clear" w:color="auto" w:fill="E1E6EB"/>
          </w:tcPr>
          <w:p w14:paraId="57F77927" w14:textId="720D1633" w:rsidR="00F555E3" w:rsidRDefault="00F555E3" w:rsidP="00161CE5">
            <w:pPr>
              <w:pStyle w:val="Caption"/>
              <w:keepLines/>
            </w:pPr>
            <w:bookmarkStart w:id="179" w:name="_Toc31983238"/>
            <w:bookmarkStart w:id="180" w:name="_Toc31991357"/>
            <w:bookmarkStart w:id="181" w:name="_Toc33443355"/>
            <w:r>
              <w:lastRenderedPageBreak/>
              <w:t xml:space="preserve">Box </w:t>
            </w:r>
            <w:fldSimple w:instr=" STYLEREF 1 \s ">
              <w:r w:rsidR="00C23E82">
                <w:rPr>
                  <w:noProof/>
                </w:rPr>
                <w:t>5</w:t>
              </w:r>
            </w:fldSimple>
            <w:r>
              <w:t>.</w:t>
            </w:r>
            <w:r>
              <w:rPr>
                <w:noProof/>
              </w:rPr>
              <w:fldChar w:fldCharType="begin"/>
            </w:r>
            <w:r>
              <w:rPr>
                <w:noProof/>
              </w:rPr>
              <w:instrText xml:space="preserve"> SEQ Box \* ARABIC \s 1 </w:instrText>
            </w:r>
            <w:r>
              <w:rPr>
                <w:noProof/>
              </w:rPr>
              <w:fldChar w:fldCharType="separate"/>
            </w:r>
            <w:r w:rsidR="00C23E82">
              <w:rPr>
                <w:noProof/>
              </w:rPr>
              <w:t>7</w:t>
            </w:r>
            <w:r>
              <w:rPr>
                <w:noProof/>
              </w:rPr>
              <w:fldChar w:fldCharType="end"/>
            </w:r>
            <w:r>
              <w:t>. Steps taken to combat corruption in EaP countries</w:t>
            </w:r>
            <w:bookmarkEnd w:id="179"/>
            <w:bookmarkEnd w:id="180"/>
            <w:bookmarkEnd w:id="181"/>
          </w:p>
          <w:p w14:paraId="4BEFAFB3" w14:textId="77777777" w:rsidR="00F555E3" w:rsidRPr="00C3261B" w:rsidRDefault="00F555E3" w:rsidP="00161CE5">
            <w:pPr>
              <w:pStyle w:val="Para0"/>
              <w:keepNext/>
              <w:keepLines/>
              <w:rPr>
                <w:sz w:val="20"/>
              </w:rPr>
            </w:pPr>
            <w:r w:rsidRPr="00C3261B">
              <w:rPr>
                <w:sz w:val="20"/>
              </w:rPr>
              <w:t xml:space="preserve">Most EaP countries have made progress in the fight against corruption. </w:t>
            </w:r>
            <w:r w:rsidRPr="00C3261B">
              <w:rPr>
                <w:b/>
                <w:sz w:val="20"/>
              </w:rPr>
              <w:t>Georgia</w:t>
            </w:r>
            <w:r w:rsidRPr="00C3261B">
              <w:rPr>
                <w:sz w:val="20"/>
              </w:rPr>
              <w:t xml:space="preserve"> in particular appears to have come a long way in creating a regulatory and institutional framework for fighting corruption in line with international and EU standards. The government has succeeded in significantly reducing petty corruption, and Georgia’s score on the CPI in 2018 was the best in Eastern Europe and Central Asia. At the same time, some of the more complex types of corruption remain a problem, and NGOs have expressed some concerns at the perceived weakening of the democratic ins</w:t>
            </w:r>
            <w:r>
              <w:rPr>
                <w:sz w:val="20"/>
              </w:rPr>
              <w:t>titutions, which might jeopardis</w:t>
            </w:r>
            <w:r w:rsidRPr="00C3261B">
              <w:rPr>
                <w:sz w:val="20"/>
              </w:rPr>
              <w:t>e gains made until now (GRECO, 201</w:t>
            </w:r>
            <w:r>
              <w:rPr>
                <w:sz w:val="20"/>
              </w:rPr>
              <w:t>9a</w:t>
            </w:r>
            <w:r w:rsidRPr="00C3261B">
              <w:rPr>
                <w:sz w:val="20"/>
              </w:rPr>
              <w:t>).</w:t>
            </w:r>
          </w:p>
          <w:p w14:paraId="45343A66" w14:textId="1AC5CA08" w:rsidR="00F555E3" w:rsidRPr="00C3261B" w:rsidRDefault="00F555E3" w:rsidP="00161CE5">
            <w:pPr>
              <w:pStyle w:val="Para0"/>
              <w:keepNext/>
              <w:keepLines/>
              <w:rPr>
                <w:sz w:val="20"/>
              </w:rPr>
            </w:pPr>
            <w:r>
              <w:rPr>
                <w:sz w:val="20"/>
              </w:rPr>
              <w:t>More recently, other countries in the region</w:t>
            </w:r>
            <w:r w:rsidRPr="00C3261B">
              <w:rPr>
                <w:sz w:val="20"/>
              </w:rPr>
              <w:t xml:space="preserve"> have made significant efforts to align their procedures and anti-corruption mechanisms with</w:t>
            </w:r>
            <w:r>
              <w:rPr>
                <w:sz w:val="20"/>
              </w:rPr>
              <w:t xml:space="preserve"> those of the</w:t>
            </w:r>
            <w:r w:rsidRPr="00C3261B">
              <w:rPr>
                <w:sz w:val="20"/>
              </w:rPr>
              <w:t xml:space="preserve"> EU. In </w:t>
            </w:r>
            <w:r w:rsidRPr="00C3261B">
              <w:rPr>
                <w:b/>
                <w:sz w:val="20"/>
              </w:rPr>
              <w:t>Ukraine</w:t>
            </w:r>
            <w:r w:rsidRPr="00C3261B">
              <w:rPr>
                <w:sz w:val="20"/>
              </w:rPr>
              <w:t xml:space="preserve"> the High Anti-Corruption Court began operating in September 2019 to address the issue of high-profile corruption involving senior public officials. Laws on the relaunching of the National Agency for Prevention of Corruption and on the protection of whistle-blowers were also adopted, as well as a law re-criminalising illicit enrichment (</w:t>
            </w:r>
            <w:r>
              <w:rPr>
                <w:sz w:val="20"/>
              </w:rPr>
              <w:t>EC, 2019c). Recognis</w:t>
            </w:r>
            <w:r w:rsidRPr="00C3261B">
              <w:rPr>
                <w:sz w:val="20"/>
              </w:rPr>
              <w:t xml:space="preserve">ing that a well-functioning system of asset disclosure is a powerful tool in corruption prevention and detection for all branches of government, Ukraine also set up a new electronic asset disclosure system for public officials, which has allowed </w:t>
            </w:r>
            <w:r>
              <w:rPr>
                <w:sz w:val="20"/>
              </w:rPr>
              <w:t>greater</w:t>
            </w:r>
            <w:r w:rsidRPr="00C3261B">
              <w:rPr>
                <w:sz w:val="20"/>
              </w:rPr>
              <w:t xml:space="preserve"> transparency </w:t>
            </w:r>
            <w:r>
              <w:rPr>
                <w:sz w:val="20"/>
              </w:rPr>
              <w:t>on the assets of public officials</w:t>
            </w:r>
            <w:r w:rsidRPr="00C3261B">
              <w:rPr>
                <w:sz w:val="20"/>
              </w:rPr>
              <w:t>.</w:t>
            </w:r>
          </w:p>
          <w:p w14:paraId="7FB122C2" w14:textId="77777777" w:rsidR="00F555E3" w:rsidRDefault="00F555E3" w:rsidP="00161CE5">
            <w:pPr>
              <w:pStyle w:val="Para0"/>
              <w:keepNext/>
              <w:keepLines/>
              <w:rPr>
                <w:sz w:val="20"/>
              </w:rPr>
            </w:pPr>
            <w:r w:rsidRPr="00C3261B">
              <w:rPr>
                <w:sz w:val="20"/>
              </w:rPr>
              <w:t xml:space="preserve">In </w:t>
            </w:r>
            <w:r w:rsidRPr="00C3261B">
              <w:rPr>
                <w:b/>
                <w:sz w:val="20"/>
              </w:rPr>
              <w:t>Armenia</w:t>
            </w:r>
            <w:r w:rsidRPr="00C3261B">
              <w:rPr>
                <w:sz w:val="20"/>
              </w:rPr>
              <w:t>, since the change of government in 2018 a number of investigations have been launched to address the issue of high-profile corruption. A new Anti-corruption Strategy for 2019-2021 and an Action Plan were adopted in 2019, and an independent corruption prevention body with ope</w:t>
            </w:r>
            <w:r>
              <w:rPr>
                <w:sz w:val="20"/>
              </w:rPr>
              <w:t>rative-investigative functions (</w:t>
            </w:r>
            <w:r w:rsidRPr="00C3261B">
              <w:rPr>
                <w:sz w:val="20"/>
              </w:rPr>
              <w:t>the Commissio</w:t>
            </w:r>
            <w:r>
              <w:rPr>
                <w:sz w:val="20"/>
              </w:rPr>
              <w:t>n for Prevention of Corruption)</w:t>
            </w:r>
            <w:r w:rsidRPr="00C3261B">
              <w:rPr>
                <w:sz w:val="20"/>
              </w:rPr>
              <w:t xml:space="preserve"> was </w:t>
            </w:r>
            <w:r>
              <w:rPr>
                <w:sz w:val="20"/>
              </w:rPr>
              <w:t>set up (GRECO, 2017).</w:t>
            </w:r>
          </w:p>
          <w:p w14:paraId="498F6629" w14:textId="77777777" w:rsidR="00F555E3" w:rsidRPr="00C3261B" w:rsidRDefault="00F555E3" w:rsidP="00161CE5">
            <w:pPr>
              <w:pStyle w:val="Para0"/>
              <w:keepNext/>
              <w:keepLines/>
              <w:rPr>
                <w:sz w:val="20"/>
              </w:rPr>
            </w:pPr>
            <w:r w:rsidRPr="00C3261B">
              <w:rPr>
                <w:sz w:val="20"/>
              </w:rPr>
              <w:t xml:space="preserve">In </w:t>
            </w:r>
            <w:r w:rsidRPr="00C3261B">
              <w:rPr>
                <w:b/>
                <w:sz w:val="20"/>
              </w:rPr>
              <w:t>Moldova</w:t>
            </w:r>
            <w:r w:rsidRPr="00C3261B">
              <w:rPr>
                <w:sz w:val="20"/>
              </w:rPr>
              <w:t xml:space="preserve">, the government focused on strengthening public integrity through the adoption of new measures </w:t>
            </w:r>
            <w:r>
              <w:rPr>
                <w:sz w:val="20"/>
              </w:rPr>
              <w:t>to prevent, detect and deter</w:t>
            </w:r>
            <w:r w:rsidRPr="00C3261B">
              <w:rPr>
                <w:sz w:val="20"/>
              </w:rPr>
              <w:t xml:space="preserve"> corrupt behaviour among civil servants. Recent reforms include the entry into force of the Law on </w:t>
            </w:r>
            <w:r>
              <w:rPr>
                <w:sz w:val="20"/>
              </w:rPr>
              <w:t>w</w:t>
            </w:r>
            <w:r w:rsidRPr="00C3261B">
              <w:rPr>
                <w:sz w:val="20"/>
              </w:rPr>
              <w:t>histle</w:t>
            </w:r>
            <w:r>
              <w:rPr>
                <w:sz w:val="20"/>
              </w:rPr>
              <w:t xml:space="preserve"> b</w:t>
            </w:r>
            <w:r w:rsidRPr="00C3261B">
              <w:rPr>
                <w:sz w:val="20"/>
              </w:rPr>
              <w:t>lowers i</w:t>
            </w:r>
            <w:r>
              <w:rPr>
                <w:sz w:val="20"/>
              </w:rPr>
              <w:t>n 2018, and the operationalis</w:t>
            </w:r>
            <w:r w:rsidRPr="00C3261B">
              <w:rPr>
                <w:sz w:val="20"/>
              </w:rPr>
              <w:t>ation of the monitoring mechanism under the 2017-2020 National Integrity and Anticorruption Strategy (</w:t>
            </w:r>
            <w:r>
              <w:rPr>
                <w:sz w:val="20"/>
              </w:rPr>
              <w:t>EC, 2019c</w:t>
            </w:r>
            <w:r w:rsidRPr="00C3261B">
              <w:rPr>
                <w:sz w:val="20"/>
              </w:rPr>
              <w:t>).</w:t>
            </w:r>
          </w:p>
          <w:p w14:paraId="1D4F0C23" w14:textId="77777777" w:rsidR="00F555E3" w:rsidRPr="00C3261B" w:rsidRDefault="00F555E3" w:rsidP="00161CE5">
            <w:pPr>
              <w:pStyle w:val="Para0"/>
              <w:keepNext/>
              <w:keepLines/>
              <w:rPr>
                <w:sz w:val="20"/>
              </w:rPr>
            </w:pPr>
            <w:r w:rsidRPr="00C3261B">
              <w:rPr>
                <w:sz w:val="20"/>
              </w:rPr>
              <w:t xml:space="preserve">In </w:t>
            </w:r>
            <w:r w:rsidRPr="00C3261B">
              <w:rPr>
                <w:b/>
                <w:sz w:val="20"/>
              </w:rPr>
              <w:t>Azerbaijan</w:t>
            </w:r>
            <w:r w:rsidRPr="00C3261B">
              <w:rPr>
                <w:sz w:val="20"/>
              </w:rPr>
              <w:t xml:space="preserve">, steps have also been taken by the authorities to reduce corruption.  However, most of the efforts </w:t>
            </w:r>
            <w:r>
              <w:rPr>
                <w:sz w:val="20"/>
              </w:rPr>
              <w:t xml:space="preserve">have </w:t>
            </w:r>
            <w:r w:rsidRPr="00C3261B">
              <w:rPr>
                <w:sz w:val="20"/>
              </w:rPr>
              <w:t>focused on low-level corruption and there is little evidence of corruption being pursued with determination among the political elite and the upper echelons of</w:t>
            </w:r>
            <w:r>
              <w:rPr>
                <w:sz w:val="20"/>
              </w:rPr>
              <w:t xml:space="preserve"> the public service (GRECO, 2019b</w:t>
            </w:r>
            <w:r w:rsidRPr="00C3261B">
              <w:rPr>
                <w:sz w:val="20"/>
              </w:rPr>
              <w:t>)</w:t>
            </w:r>
            <w:r>
              <w:rPr>
                <w:sz w:val="20"/>
              </w:rPr>
              <w:t>,</w:t>
            </w:r>
            <w:r w:rsidRPr="00C3261B">
              <w:rPr>
                <w:sz w:val="20"/>
              </w:rPr>
              <w:t xml:space="preserve"> despite the fact that fighting corruption is a stated priority for the government. Moreover, as evidenced by high-level corruption scandals, risk of state capture remains high (Transparency International, 2019).</w:t>
            </w:r>
          </w:p>
          <w:p w14:paraId="7C915B00" w14:textId="77777777" w:rsidR="00F555E3" w:rsidRDefault="00F555E3" w:rsidP="00161CE5">
            <w:pPr>
              <w:pStyle w:val="Para0"/>
              <w:keepNext/>
              <w:keepLines/>
            </w:pPr>
            <w:r w:rsidRPr="00C3261B">
              <w:rPr>
                <w:rFonts w:eastAsia="SimSun"/>
                <w:sz w:val="20"/>
              </w:rPr>
              <w:t xml:space="preserve">While five of the six countries have made some progress in their ability to prevent and combat corruption, the situation in </w:t>
            </w:r>
            <w:r w:rsidRPr="00C3261B">
              <w:rPr>
                <w:rFonts w:eastAsia="SimSun"/>
                <w:b/>
                <w:sz w:val="20"/>
              </w:rPr>
              <w:t>Belarus</w:t>
            </w:r>
            <w:r w:rsidRPr="00C3261B">
              <w:rPr>
                <w:rFonts w:eastAsia="SimSun"/>
                <w:sz w:val="20"/>
              </w:rPr>
              <w:t xml:space="preserve"> warrants attention. In 2019 GRECO publicly declared Belarus non-compliant with its anti-corruption standards. According to GRECO (2019c), Belarus failed to address 20 out of 24 recommendations made in 2012, most of which related to fundamental anti-corruption requirements, such as strengthening the independence of the judiciary and of the prosecution office, increasing the operational autonomy of law enforcement, limiting immunity protection, strengthening the regime for access to public information, and ensuring involvement of civil society and other stakeholders in the fight against corruption. It was also noted that corruption seemed particularly alarming in procurement for </w:t>
            </w:r>
            <w:r>
              <w:rPr>
                <w:rFonts w:eastAsia="SimSun"/>
                <w:sz w:val="20"/>
              </w:rPr>
              <w:t>s</w:t>
            </w:r>
            <w:r w:rsidRPr="00C3261B">
              <w:rPr>
                <w:rFonts w:eastAsia="SimSun"/>
                <w:sz w:val="20"/>
              </w:rPr>
              <w:t>tate-run enterprises.</w:t>
            </w:r>
          </w:p>
        </w:tc>
      </w:tr>
    </w:tbl>
    <w:p w14:paraId="5F3CD9B9" w14:textId="77777777" w:rsidR="00F555E3" w:rsidRPr="00115748" w:rsidRDefault="00F555E3" w:rsidP="00F555E3">
      <w:pPr>
        <w:pStyle w:val="Para0"/>
        <w:rPr>
          <w:rFonts w:eastAsia="SimSun"/>
          <w:color w:val="000000" w:themeColor="text1"/>
        </w:rPr>
      </w:pPr>
      <w:r w:rsidRPr="00115748">
        <w:t xml:space="preserve">Corruption prevention in the private sector has been </w:t>
      </w:r>
      <w:r w:rsidRPr="00115748">
        <w:rPr>
          <w:rFonts w:eastAsia="SimSun"/>
          <w:color w:val="000000" w:themeColor="text1"/>
        </w:rPr>
        <w:t>significantly lower on governments</w:t>
      </w:r>
      <w:r>
        <w:rPr>
          <w:rFonts w:eastAsia="SimSun"/>
          <w:color w:val="000000" w:themeColor="text1"/>
        </w:rPr>
        <w:t>’</w:t>
      </w:r>
      <w:r w:rsidRPr="00115748">
        <w:rPr>
          <w:rFonts w:eastAsia="SimSun"/>
          <w:color w:val="000000" w:themeColor="text1"/>
        </w:rPr>
        <w:t xml:space="preserve"> reform agenda</w:t>
      </w:r>
      <w:r>
        <w:rPr>
          <w:rFonts w:eastAsia="SimSun"/>
          <w:color w:val="000000" w:themeColor="text1"/>
        </w:rPr>
        <w:t>s</w:t>
      </w:r>
      <w:r w:rsidRPr="00115748">
        <w:rPr>
          <w:rFonts w:eastAsia="SimSun"/>
          <w:color w:val="000000" w:themeColor="text1"/>
        </w:rPr>
        <w:t xml:space="preserve"> so far, compared to efforts targeted at </w:t>
      </w:r>
      <w:r>
        <w:rPr>
          <w:rFonts w:eastAsia="SimSun"/>
          <w:color w:val="000000" w:themeColor="text1"/>
        </w:rPr>
        <w:t>public</w:t>
      </w:r>
      <w:r w:rsidRPr="00115748">
        <w:rPr>
          <w:rFonts w:eastAsia="SimSun"/>
          <w:color w:val="000000" w:themeColor="text1"/>
        </w:rPr>
        <w:t xml:space="preserve"> institutions and officials. </w:t>
      </w:r>
      <w:r>
        <w:rPr>
          <w:rFonts w:eastAsia="SimSun"/>
          <w:color w:val="000000" w:themeColor="text1"/>
        </w:rPr>
        <w:t>Only a</w:t>
      </w:r>
      <w:r w:rsidRPr="00115748">
        <w:rPr>
          <w:rFonts w:eastAsia="SimSun"/>
          <w:color w:val="000000" w:themeColor="text1"/>
        </w:rPr>
        <w:t xml:space="preserve"> few </w:t>
      </w:r>
      <w:r>
        <w:rPr>
          <w:rFonts w:eastAsia="SimSun"/>
          <w:color w:val="000000" w:themeColor="text1"/>
        </w:rPr>
        <w:t xml:space="preserve">governmental </w:t>
      </w:r>
      <w:r w:rsidRPr="00115748">
        <w:rPr>
          <w:rFonts w:eastAsia="SimSun"/>
          <w:color w:val="000000" w:themeColor="text1"/>
        </w:rPr>
        <w:t xml:space="preserve">initiatives have encouraged the development of good practices in the corporate sector, such as the establishment of internal codes of conduct. Reforms associated with the </w:t>
      </w:r>
      <w:r w:rsidRPr="00115748">
        <w:t xml:space="preserve">Extractive Industries Transparency Initiative </w:t>
      </w:r>
      <w:r>
        <w:t xml:space="preserve">(EITI) </w:t>
      </w:r>
      <w:r w:rsidRPr="00115748">
        <w:rPr>
          <w:rFonts w:eastAsia="SimSun"/>
          <w:color w:val="000000" w:themeColor="text1"/>
        </w:rPr>
        <w:t>are indirectly relevant in that they demand on the part of business enterprises strong disclosure practices</w:t>
      </w:r>
      <w:r>
        <w:rPr>
          <w:rFonts w:eastAsia="SimSun"/>
          <w:color w:val="000000" w:themeColor="text1"/>
        </w:rPr>
        <w:t xml:space="preserve"> (Box 5.8)</w:t>
      </w:r>
      <w:r w:rsidRPr="00115748">
        <w:rPr>
          <w:rFonts w:eastAsia="SimSun"/>
          <w:color w:val="000000" w:themeColor="text1"/>
        </w:rPr>
        <w:t xml:space="preserve">. More </w:t>
      </w:r>
      <w:r w:rsidRPr="00115748">
        <w:rPr>
          <w:rFonts w:eastAsia="SimSun"/>
          <w:color w:val="000000" w:themeColor="text1"/>
        </w:rPr>
        <w:lastRenderedPageBreak/>
        <w:t xml:space="preserve">directly focused on promoting business ethics, the Ukrainian Network of Integrity and Compliance was launched </w:t>
      </w:r>
      <w:r>
        <w:rPr>
          <w:rFonts w:eastAsia="SimSun"/>
          <w:color w:val="000000" w:themeColor="text1"/>
        </w:rPr>
        <w:t xml:space="preserve">in 2017 </w:t>
      </w:r>
      <w:r w:rsidRPr="00115748">
        <w:rPr>
          <w:rFonts w:eastAsia="SimSun"/>
          <w:color w:val="000000" w:themeColor="text1"/>
        </w:rPr>
        <w:t>by the Business Ombudsman Council with the support of EBRD and the OECD. The network brings together responsible businesses and promotes the idea of doing business ethically through educational events, developing policies, and</w:t>
      </w:r>
      <w:r>
        <w:rPr>
          <w:rFonts w:eastAsia="SimSun"/>
          <w:color w:val="000000" w:themeColor="text1"/>
        </w:rPr>
        <w:t xml:space="preserve"> evaluating members’ compliance</w:t>
      </w:r>
      <w:r w:rsidRPr="00115748">
        <w:rPr>
          <w:rFonts w:eastAsia="SimSun"/>
          <w:color w:val="000000" w:themeColor="text1"/>
        </w:rPr>
        <w:t xml:space="preserve"> (</w:t>
      </w:r>
      <w:r>
        <w:rPr>
          <w:rFonts w:eastAsia="SimSun"/>
          <w:color w:val="000000" w:themeColor="text1"/>
        </w:rPr>
        <w:t>EBRD</w:t>
      </w:r>
      <w:r w:rsidRPr="00115748">
        <w:rPr>
          <w:rFonts w:eastAsia="SimSun"/>
          <w:color w:val="000000" w:themeColor="text1"/>
        </w:rPr>
        <w:t xml:space="preserve">, 2018). </w:t>
      </w:r>
    </w:p>
    <w:p w14:paraId="3C797D2D" w14:textId="77777777" w:rsidR="00F555E3" w:rsidRDefault="00F555E3" w:rsidP="00F555E3">
      <w:pPr>
        <w:pStyle w:val="Para0"/>
        <w:rPr>
          <w:rFonts w:eastAsia="SimSun"/>
          <w:color w:val="000000" w:themeColor="text1"/>
        </w:rPr>
      </w:pPr>
      <w:r w:rsidRPr="00115748">
        <w:rPr>
          <w:rFonts w:eastAsia="SimSun"/>
          <w:color w:val="000000" w:themeColor="text1"/>
        </w:rPr>
        <w:t>With few exceptions,</w:t>
      </w:r>
      <w:r>
        <w:rPr>
          <w:rFonts w:eastAsia="SimSun"/>
          <w:color w:val="000000" w:themeColor="text1"/>
        </w:rPr>
        <w:t xml:space="preserve"> like in Armenia</w:t>
      </w:r>
      <w:r w:rsidRPr="00115748">
        <w:rPr>
          <w:rFonts w:eastAsia="SimSun"/>
          <w:color w:val="000000" w:themeColor="text1"/>
        </w:rPr>
        <w:t xml:space="preserve">, </w:t>
      </w:r>
      <w:r>
        <w:rPr>
          <w:rFonts w:eastAsia="SimSun"/>
          <w:color w:val="000000" w:themeColor="text1"/>
        </w:rPr>
        <w:t>businesses</w:t>
      </w:r>
      <w:r w:rsidRPr="00115748">
        <w:rPr>
          <w:rFonts w:eastAsia="SimSun"/>
          <w:color w:val="000000" w:themeColor="text1"/>
        </w:rPr>
        <w:t xml:space="preserve"> have in general only timidly taken the initiative to promote business ethics and the adoption of internal codes of conduct. In Armenia</w:t>
      </w:r>
      <w:r>
        <w:rPr>
          <w:rFonts w:eastAsia="SimSun"/>
          <w:color w:val="000000" w:themeColor="text1"/>
        </w:rPr>
        <w:t>,</w:t>
      </w:r>
      <w:r w:rsidRPr="00115748">
        <w:rPr>
          <w:rFonts w:eastAsia="SimSun"/>
          <w:color w:val="000000" w:themeColor="text1"/>
        </w:rPr>
        <w:t xml:space="preserve"> for instance, several foreign and local companies working with international financial institutions have implemented corporate governance mechanisms to tackle corruption internally, but the practice is not well developed (</w:t>
      </w:r>
      <w:r>
        <w:rPr>
          <w:rFonts w:eastAsia="SimSun"/>
          <w:color w:val="000000" w:themeColor="text1"/>
        </w:rPr>
        <w:t>United States</w:t>
      </w:r>
      <w:r w:rsidRPr="00115748">
        <w:rPr>
          <w:rFonts w:eastAsia="SimSun"/>
          <w:color w:val="000000" w:themeColor="text1"/>
        </w:rPr>
        <w:t>, 2019).</w:t>
      </w:r>
      <w:r w:rsidRPr="00115748">
        <w:t xml:space="preserve"> </w:t>
      </w:r>
      <w:r w:rsidRPr="00115748">
        <w:rPr>
          <w:rFonts w:eastAsia="SimSun"/>
          <w:color w:val="000000" w:themeColor="text1"/>
        </w:rPr>
        <w:t xml:space="preserve">In most if not all </w:t>
      </w:r>
      <w:r>
        <w:rPr>
          <w:rFonts w:eastAsia="SimSun"/>
          <w:color w:val="000000" w:themeColor="text1"/>
        </w:rPr>
        <w:t xml:space="preserve">EaP </w:t>
      </w:r>
      <w:r w:rsidRPr="00115748">
        <w:rPr>
          <w:rFonts w:eastAsia="SimSun"/>
          <w:color w:val="000000" w:themeColor="text1"/>
        </w:rPr>
        <w:t>countries there is a need for</w:t>
      </w:r>
      <w:r>
        <w:rPr>
          <w:rFonts w:eastAsia="SimSun"/>
          <w:color w:val="000000" w:themeColor="text1"/>
        </w:rPr>
        <w:t xml:space="preserve"> the</w:t>
      </w:r>
      <w:r w:rsidRPr="00115748">
        <w:rPr>
          <w:rFonts w:eastAsia="SimSun"/>
          <w:color w:val="000000" w:themeColor="text1"/>
        </w:rPr>
        <w:t xml:space="preserve"> private sector to take on a greater role in self-regulating </w:t>
      </w:r>
      <w:r>
        <w:rPr>
          <w:rFonts w:eastAsia="SimSun"/>
          <w:color w:val="000000" w:themeColor="text1"/>
        </w:rPr>
        <w:t>its</w:t>
      </w:r>
      <w:r w:rsidRPr="00115748">
        <w:rPr>
          <w:rFonts w:eastAsia="SimSun"/>
          <w:color w:val="000000" w:themeColor="text1"/>
        </w:rPr>
        <w:t xml:space="preserve"> own activities; this would complement existing public policies, which so far have primarily focused on state agencies investigating and prosecuting public sector officials.</w:t>
      </w:r>
    </w:p>
    <w:p w14:paraId="1BC40190" w14:textId="77777777" w:rsidR="00F555E3" w:rsidRPr="00115748" w:rsidRDefault="00F555E3" w:rsidP="00F555E3">
      <w:pPr>
        <w:pStyle w:val="Para0"/>
        <w:rPr>
          <w:rFonts w:eastAsia="SimSun"/>
          <w:color w:val="000000" w:themeColor="text1"/>
        </w:rPr>
      </w:pP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F555E3" w14:paraId="6B4F9CF9" w14:textId="77777777" w:rsidTr="00161CE5">
        <w:trPr>
          <w:jc w:val="center"/>
        </w:trPr>
        <w:tc>
          <w:tcPr>
            <w:tcW w:w="9309" w:type="dxa"/>
            <w:shd w:val="clear" w:color="auto" w:fill="E1E6EB"/>
          </w:tcPr>
          <w:p w14:paraId="497CBF76" w14:textId="54D30F60" w:rsidR="00F555E3" w:rsidRDefault="00F555E3" w:rsidP="00161CE5">
            <w:pPr>
              <w:pStyle w:val="Caption"/>
              <w:keepNext w:val="0"/>
            </w:pPr>
            <w:bookmarkStart w:id="182" w:name="_Toc31983239"/>
            <w:bookmarkStart w:id="183" w:name="_Toc31991358"/>
            <w:bookmarkStart w:id="184" w:name="_Toc33443356"/>
            <w:r>
              <w:t xml:space="preserve">Box </w:t>
            </w:r>
            <w:fldSimple w:instr=" STYLEREF 1 \s ">
              <w:r w:rsidR="00AB3FA9">
                <w:rPr>
                  <w:noProof/>
                </w:rPr>
                <w:t>5</w:t>
              </w:r>
            </w:fldSimple>
            <w:r>
              <w:t>.</w:t>
            </w:r>
            <w:r>
              <w:rPr>
                <w:noProof/>
              </w:rPr>
              <w:fldChar w:fldCharType="begin"/>
            </w:r>
            <w:r>
              <w:rPr>
                <w:noProof/>
              </w:rPr>
              <w:instrText xml:space="preserve"> SEQ Box \* ARABIC \s 1 </w:instrText>
            </w:r>
            <w:r>
              <w:rPr>
                <w:noProof/>
              </w:rPr>
              <w:fldChar w:fldCharType="separate"/>
            </w:r>
            <w:r w:rsidR="00AB3FA9">
              <w:rPr>
                <w:noProof/>
              </w:rPr>
              <w:t>8</w:t>
            </w:r>
            <w:r>
              <w:rPr>
                <w:noProof/>
              </w:rPr>
              <w:fldChar w:fldCharType="end"/>
            </w:r>
            <w:r>
              <w:t xml:space="preserve">. </w:t>
            </w:r>
            <w:r w:rsidRPr="00115748">
              <w:t>Disclosure and Transparency in extractive industries</w:t>
            </w:r>
            <w:bookmarkEnd w:id="182"/>
            <w:bookmarkEnd w:id="183"/>
            <w:bookmarkEnd w:id="184"/>
          </w:p>
          <w:p w14:paraId="51C9FD04" w14:textId="77777777" w:rsidR="00F555E3" w:rsidRPr="00E77948" w:rsidRDefault="00F555E3" w:rsidP="00161CE5">
            <w:pPr>
              <w:pStyle w:val="Para0"/>
              <w:rPr>
                <w:sz w:val="20"/>
              </w:rPr>
            </w:pPr>
            <w:r w:rsidRPr="00E77948">
              <w:rPr>
                <w:sz w:val="20"/>
              </w:rPr>
              <w:t xml:space="preserve">Revenue transparency is crucial to curb corruption, especially for resource-rich countries. Both Armenia and Ukraine are part of the Extractive Industries Transparency Initiative (EITI). Azerbaijan’s decision to leave the EITI in 2018, following its temporary suspension by the EITI due to the civil society crackdown, is therefore a missed opportunity. </w:t>
            </w:r>
          </w:p>
          <w:p w14:paraId="4CFC528D" w14:textId="77777777" w:rsidR="00F555E3" w:rsidRPr="00E77948" w:rsidRDefault="00F555E3" w:rsidP="00161CE5">
            <w:pPr>
              <w:pStyle w:val="Para0"/>
              <w:rPr>
                <w:sz w:val="20"/>
              </w:rPr>
            </w:pPr>
            <w:r w:rsidRPr="00E77948">
              <w:rPr>
                <w:b/>
                <w:sz w:val="20"/>
              </w:rPr>
              <w:t>Ukraine</w:t>
            </w:r>
            <w:r w:rsidRPr="00E77948">
              <w:rPr>
                <w:sz w:val="20"/>
              </w:rPr>
              <w:t xml:space="preserve"> joined the EITI in 2013 and has been assessed against the 2016 EITI standard as making some progress. Of note is the</w:t>
            </w:r>
            <w:r>
              <w:rPr>
                <w:sz w:val="20"/>
              </w:rPr>
              <w:t xml:space="preserve"> entry into force in</w:t>
            </w:r>
            <w:r w:rsidRPr="00E77948">
              <w:rPr>
                <w:sz w:val="20"/>
              </w:rPr>
              <w:t xml:space="preserve"> 2018</w:t>
            </w:r>
            <w:r>
              <w:rPr>
                <w:sz w:val="20"/>
              </w:rPr>
              <w:t xml:space="preserve"> of the</w:t>
            </w:r>
            <w:r w:rsidRPr="00E77948">
              <w:rPr>
                <w:sz w:val="20"/>
              </w:rPr>
              <w:t xml:space="preserve"> Law on Ensuring Transparency in Extractive Industries, which defines the legal framework for corruption prevention in extractive industries. The law specifies disclosure requirements for both companies and government authorities. For instance, subsoil users are expected to disclose information on taxes and royalties paid and on commercial activities related to mining operations. Since 2014 Ukraine also maintains a beneficial ownership register of all companies, under the Ministry of Justice (</w:t>
            </w:r>
            <w:r>
              <w:rPr>
                <w:sz w:val="20"/>
              </w:rPr>
              <w:t>EY</w:t>
            </w:r>
            <w:r w:rsidRPr="00E77948">
              <w:rPr>
                <w:sz w:val="20"/>
              </w:rPr>
              <w:t xml:space="preserve">, </w:t>
            </w:r>
            <w:r>
              <w:rPr>
                <w:sz w:val="20"/>
              </w:rPr>
              <w:t>2018b</w:t>
            </w:r>
            <w:r w:rsidRPr="00E77948">
              <w:rPr>
                <w:sz w:val="20"/>
              </w:rPr>
              <w:t>).</w:t>
            </w:r>
          </w:p>
          <w:p w14:paraId="06F7CBBC" w14:textId="77777777" w:rsidR="00F555E3" w:rsidRDefault="00F555E3" w:rsidP="00161CE5">
            <w:pPr>
              <w:pStyle w:val="Para0"/>
              <w:keepNext/>
            </w:pPr>
            <w:r w:rsidRPr="00E77948">
              <w:rPr>
                <w:b/>
                <w:sz w:val="20"/>
              </w:rPr>
              <w:t>Armenia</w:t>
            </w:r>
            <w:r w:rsidRPr="00E77948">
              <w:rPr>
                <w:sz w:val="20"/>
              </w:rPr>
              <w:t xml:space="preserve"> joined the EITI in 2017 and has yet to be assessed against the 2016 standard. Armenia’s active participation in the EITI, especially since the change of government in 2018, contributes to the government’s anti-corruption reform objectives. As part of its EITI membership aspirations, the government in 2018 adopted a roadmap to disclose beneficial owners in the metal ore mining industry (</w:t>
            </w:r>
            <w:r>
              <w:rPr>
                <w:sz w:val="20"/>
              </w:rPr>
              <w:t>EY</w:t>
            </w:r>
            <w:r w:rsidRPr="00E77948">
              <w:rPr>
                <w:sz w:val="20"/>
              </w:rPr>
              <w:t xml:space="preserve">, </w:t>
            </w:r>
            <w:r>
              <w:rPr>
                <w:sz w:val="20"/>
              </w:rPr>
              <w:t>2018c</w:t>
            </w:r>
            <w:r w:rsidRPr="00E77948">
              <w:rPr>
                <w:sz w:val="20"/>
              </w:rPr>
              <w:t>).</w:t>
            </w:r>
          </w:p>
        </w:tc>
      </w:tr>
    </w:tbl>
    <w:p w14:paraId="6845E6B4" w14:textId="77777777" w:rsidR="00F555E3" w:rsidRPr="006441B6" w:rsidRDefault="00F555E3" w:rsidP="00F555E3">
      <w:pPr>
        <w:pStyle w:val="Para0"/>
      </w:pPr>
    </w:p>
    <w:p w14:paraId="77F0E215" w14:textId="77777777" w:rsidR="00F555E3" w:rsidRPr="00F555E3" w:rsidRDefault="00F555E3" w:rsidP="00F555E3">
      <w:pPr>
        <w:pStyle w:val="Para0"/>
      </w:pPr>
    </w:p>
    <w:p w14:paraId="0BE1C440" w14:textId="1838A2EC" w:rsidR="00D7679C" w:rsidRDefault="0091662F" w:rsidP="0091662F">
      <w:pPr>
        <w:pStyle w:val="Title"/>
      </w:pPr>
      <w:bookmarkStart w:id="185" w:name="_Toc31983299"/>
      <w:bookmarkStart w:id="186" w:name="_Toc33443310"/>
      <w:r>
        <w:lastRenderedPageBreak/>
        <w:t>References</w:t>
      </w:r>
      <w:bookmarkEnd w:id="185"/>
      <w:bookmarkEnd w:id="186"/>
    </w:p>
    <w:p w14:paraId="02A11A54" w14:textId="77777777" w:rsidR="007F1C51" w:rsidRDefault="007F1C51" w:rsidP="007F1C51">
      <w:pPr>
        <w:pStyle w:val="Bibliography"/>
        <w:rPr>
          <w:noProof/>
        </w:rPr>
      </w:pPr>
      <w:r>
        <w:rPr>
          <w:noProof/>
        </w:rPr>
        <w:t xml:space="preserve">Abbas, S. and A. Klemm (2013), “A partial race to the bottom: corporate tax developments in emerging and developing economies”, </w:t>
      </w:r>
      <w:r>
        <w:rPr>
          <w:i/>
          <w:iCs/>
          <w:noProof/>
        </w:rPr>
        <w:t>Int Tax Public Finance</w:t>
      </w:r>
      <w:r>
        <w:rPr>
          <w:noProof/>
        </w:rPr>
        <w:t xml:space="preserve">, Vol. 20, pp. 596–617, </w:t>
      </w:r>
      <w:r>
        <w:t>http://dx.doi.org/10.1007/s10797-013-9286-8.</w:t>
      </w:r>
    </w:p>
    <w:p w14:paraId="797BB492" w14:textId="77777777" w:rsidR="007F1C51" w:rsidRDefault="007F1C51" w:rsidP="007F1C51">
      <w:pPr>
        <w:pStyle w:val="Bibliography"/>
        <w:rPr>
          <w:noProof/>
        </w:rPr>
      </w:pPr>
      <w:r>
        <w:rPr>
          <w:noProof/>
        </w:rPr>
        <w:t xml:space="preserve">Andersen, M., Kett, B., and Von Uexkull, E. (2017), “Corporate Tax Incentives and FDI in Developing Countries”, In </w:t>
      </w:r>
      <w:r>
        <w:rPr>
          <w:i/>
          <w:iCs/>
          <w:noProof/>
        </w:rPr>
        <w:t>Global Investment Competitiveness Report 2017/2018</w:t>
      </w:r>
      <w:r>
        <w:rPr>
          <w:iCs/>
          <w:noProof/>
        </w:rPr>
        <w:t>,</w:t>
      </w:r>
      <w:r>
        <w:rPr>
          <w:noProof/>
        </w:rPr>
        <w:t xml:space="preserve"> World Bank, doi:10.1596/978-1-4648-1175-3.</w:t>
      </w:r>
    </w:p>
    <w:p w14:paraId="19CB3DC1" w14:textId="77777777" w:rsidR="007F1C51" w:rsidRDefault="007F1C51" w:rsidP="007F1C51">
      <w:pPr>
        <w:pStyle w:val="Bibliography"/>
        <w:rPr>
          <w:noProof/>
        </w:rPr>
      </w:pPr>
      <w:r>
        <w:rPr>
          <w:noProof/>
        </w:rPr>
        <w:t xml:space="preserve">Barbone, L., and Sanchez, L. (2003), “The Political Economy of Taxation in CIS Countries”, </w:t>
      </w:r>
      <w:r>
        <w:rPr>
          <w:i/>
          <w:iCs/>
          <w:noProof/>
        </w:rPr>
        <w:t>Tax Policy Conference</w:t>
      </w:r>
      <w:r>
        <w:rPr>
          <w:noProof/>
        </w:rPr>
        <w:t>, p. 503, https://ssrn.com/abstract=2073435.</w:t>
      </w:r>
    </w:p>
    <w:p w14:paraId="250CD122" w14:textId="475BC0DC" w:rsidR="007F1C51" w:rsidRDefault="007F1C51" w:rsidP="007F1C51">
      <w:pPr>
        <w:pStyle w:val="Bibliography"/>
        <w:rPr>
          <w:rStyle w:val="Hyperlink"/>
        </w:rPr>
      </w:pPr>
      <w:r>
        <w:t xml:space="preserve">BHRRC (2020), Business, Civic Freedoms and Human Rights Defenders Portal, </w:t>
      </w:r>
      <w:r w:rsidRPr="005F0DF2">
        <w:t>www.business-humanrights.org/en/bizhrds#</w:t>
      </w:r>
      <w:r>
        <w:rPr>
          <w:rStyle w:val="Hyperlink"/>
        </w:rPr>
        <w:t>.</w:t>
      </w:r>
    </w:p>
    <w:p w14:paraId="77BFCBC8" w14:textId="4CB1752B" w:rsidR="007F1C51" w:rsidRDefault="007F1C51" w:rsidP="007F1C51">
      <w:pPr>
        <w:pStyle w:val="Bibliography"/>
      </w:pPr>
      <w:r>
        <w:t xml:space="preserve">BHRRC (2016), “Seven killed in Ukraine mine blast”, NDTV, June 13, </w:t>
      </w:r>
      <w:r w:rsidRPr="005F0DF2">
        <w:t>www.business-humanrights.org/en/seven-killed-in-ukraine-mine-blast</w:t>
      </w:r>
      <w:r w:rsidR="005F0DF2">
        <w:rPr>
          <w:rStyle w:val="Hyperlink"/>
        </w:rPr>
        <w:t>.</w:t>
      </w:r>
    </w:p>
    <w:p w14:paraId="13F9ADF9" w14:textId="77777777" w:rsidR="007F1C51" w:rsidRDefault="007F1C51" w:rsidP="007F1C51">
      <w:pPr>
        <w:pStyle w:val="Bibliography"/>
        <w:rPr>
          <w:noProof/>
          <w:lang w:val="en-US"/>
        </w:rPr>
      </w:pPr>
      <w:r>
        <w:rPr>
          <w:noProof/>
        </w:rPr>
        <w:t xml:space="preserve">BHRRC (2014), “Workers and Minorities Bear the Brunt of Abuse”, </w:t>
      </w:r>
      <w:r>
        <w:rPr>
          <w:i/>
          <w:noProof/>
        </w:rPr>
        <w:t>Regional Briefing: Eastern Europe and Central Asia</w:t>
      </w:r>
      <w:r>
        <w:rPr>
          <w:noProof/>
        </w:rPr>
        <w:t>, May, https://www.business-humanrights.org/en/eastern-europe-central-asia-regional-briefings.</w:t>
      </w:r>
    </w:p>
    <w:p w14:paraId="6C93D5BD" w14:textId="77777777" w:rsidR="007F1C51" w:rsidRDefault="007F1C51" w:rsidP="007F1C51">
      <w:pPr>
        <w:pStyle w:val="Bibliography"/>
        <w:rPr>
          <w:noProof/>
        </w:rPr>
      </w:pPr>
      <w:r>
        <w:rPr>
          <w:noProof/>
        </w:rPr>
        <w:t xml:space="preserve">Braunerhjelm, P., and Eklund, J. (2014), “Taxes, Tax Administrative Burdens and New Firm Formation”, </w:t>
      </w:r>
      <w:r>
        <w:rPr>
          <w:i/>
          <w:iCs/>
          <w:noProof/>
        </w:rPr>
        <w:t>Kyklos, 67</w:t>
      </w:r>
      <w:r>
        <w:rPr>
          <w:noProof/>
        </w:rPr>
        <w:t xml:space="preserve">(1), pp. 1-11. doi:http://dx.doi.org/10.1111/kykl.12040 </w:t>
      </w:r>
    </w:p>
    <w:p w14:paraId="7E7B9AE8" w14:textId="77777777" w:rsidR="007F1C51" w:rsidRDefault="007F1C51" w:rsidP="007F1C51">
      <w:pPr>
        <w:pStyle w:val="Bibliography"/>
        <w:rPr>
          <w:noProof/>
        </w:rPr>
      </w:pPr>
      <w:r>
        <w:rPr>
          <w:noProof/>
        </w:rPr>
        <w:t xml:space="preserve">Cass, F. (2007), “Attracting FDI to transition countries: the use of incentives and promotion agencies”, </w:t>
      </w:r>
      <w:r>
        <w:rPr>
          <w:i/>
          <w:iCs/>
          <w:noProof/>
        </w:rPr>
        <w:t>Transnational Corporations , 16</w:t>
      </w:r>
      <w:r>
        <w:rPr>
          <w:noProof/>
        </w:rPr>
        <w:t>(2).</w:t>
      </w:r>
    </w:p>
    <w:p w14:paraId="66F2C22C" w14:textId="77777777" w:rsidR="007F1C51" w:rsidRDefault="007F1C51" w:rsidP="007F1C51">
      <w:pPr>
        <w:pStyle w:val="Bibliography"/>
        <w:rPr>
          <w:noProof/>
        </w:rPr>
      </w:pPr>
      <w:r>
        <w:rPr>
          <w:noProof/>
        </w:rPr>
        <w:t xml:space="preserve">Chai, J., and Goyal, R. (2008), “Tax Concessions and Foreign Direct Investment in the Eastern Caribbean Currency Union”, </w:t>
      </w:r>
      <w:r>
        <w:rPr>
          <w:i/>
          <w:iCs/>
          <w:noProof/>
        </w:rPr>
        <w:t>IMF WP/08/257</w:t>
      </w:r>
      <w:r>
        <w:rPr>
          <w:noProof/>
        </w:rPr>
        <w:t>.</w:t>
      </w:r>
    </w:p>
    <w:p w14:paraId="0A0FF09F" w14:textId="77777777" w:rsidR="007F1C51" w:rsidRDefault="007F1C51" w:rsidP="007F1C51">
      <w:pPr>
        <w:pStyle w:val="Bibliography"/>
        <w:rPr>
          <w:noProof/>
        </w:rPr>
      </w:pPr>
      <w:r>
        <w:rPr>
          <w:noProof/>
        </w:rPr>
        <w:t xml:space="preserve">Clark, W. S., and Skrok, E. (2019), </w:t>
      </w:r>
      <w:r>
        <w:rPr>
          <w:i/>
          <w:iCs/>
          <w:noProof/>
        </w:rPr>
        <w:t>The Use of Corporate Tax Incentives : A Guidance Note and Experience from Poland, Hungary and Latvia,</w:t>
      </w:r>
      <w:r>
        <w:rPr>
          <w:noProof/>
        </w:rPr>
        <w:t xml:space="preserve"> World Bank.</w:t>
      </w:r>
    </w:p>
    <w:p w14:paraId="208EC70D" w14:textId="77777777" w:rsidR="007F1C51" w:rsidRDefault="007F1C51" w:rsidP="007F1C51">
      <w:pPr>
        <w:pStyle w:val="Bibliography"/>
      </w:pPr>
      <w:r>
        <w:t xml:space="preserve">CoE (2018a), </w:t>
      </w:r>
      <w:r>
        <w:rPr>
          <w:i/>
          <w:iCs/>
          <w:color w:val="000000" w:themeColor="text1"/>
        </w:rPr>
        <w:t xml:space="preserve">Thematic group: labour rights - Conclusions for </w:t>
      </w:r>
      <w:r>
        <w:rPr>
          <w:i/>
          <w:iCs/>
        </w:rPr>
        <w:t>Armenia</w:t>
      </w:r>
      <w:r>
        <w:t xml:space="preserve">, European Committee </w:t>
      </w:r>
      <w:r>
        <w:rPr>
          <w:color w:val="000000" w:themeColor="text1"/>
        </w:rPr>
        <w:t xml:space="preserve">of Social Rights, </w:t>
      </w:r>
      <w:r>
        <w:t>Council of Europe</w:t>
      </w:r>
      <w:r>
        <w:rPr>
          <w:color w:val="000000" w:themeColor="text1"/>
        </w:rPr>
        <w:t>.</w:t>
      </w:r>
    </w:p>
    <w:p w14:paraId="2076F58C" w14:textId="77777777" w:rsidR="007F1C51" w:rsidRDefault="007F1C51" w:rsidP="007F1C51">
      <w:pPr>
        <w:pStyle w:val="Bibliography"/>
      </w:pPr>
      <w:r>
        <w:t xml:space="preserve">CoE (2018b), </w:t>
      </w:r>
      <w:r>
        <w:rPr>
          <w:i/>
          <w:iCs/>
          <w:color w:val="000000" w:themeColor="text1"/>
        </w:rPr>
        <w:t xml:space="preserve">Thematic group: labour rights - Conclusions for </w:t>
      </w:r>
      <w:r>
        <w:rPr>
          <w:i/>
          <w:iCs/>
        </w:rPr>
        <w:t>Azerbaijan</w:t>
      </w:r>
      <w:r>
        <w:t xml:space="preserve">, European Committee </w:t>
      </w:r>
      <w:r>
        <w:rPr>
          <w:color w:val="000000" w:themeColor="text1"/>
        </w:rPr>
        <w:t xml:space="preserve">of Social Rights, </w:t>
      </w:r>
      <w:r>
        <w:t>Council of Europe</w:t>
      </w:r>
      <w:r>
        <w:rPr>
          <w:color w:val="000000" w:themeColor="text1"/>
        </w:rPr>
        <w:t>.</w:t>
      </w:r>
    </w:p>
    <w:p w14:paraId="0EB6BBB4" w14:textId="77777777" w:rsidR="007F1C51" w:rsidRDefault="007F1C51" w:rsidP="007F1C51">
      <w:pPr>
        <w:pStyle w:val="Bibliography"/>
      </w:pPr>
      <w:r>
        <w:t xml:space="preserve">CoE (2018c), </w:t>
      </w:r>
      <w:r>
        <w:rPr>
          <w:i/>
          <w:iCs/>
          <w:color w:val="000000" w:themeColor="text1"/>
        </w:rPr>
        <w:t xml:space="preserve">Thematic group: labour rights - Conclusions for </w:t>
      </w:r>
      <w:r>
        <w:rPr>
          <w:i/>
          <w:iCs/>
        </w:rPr>
        <w:t>Georgia</w:t>
      </w:r>
      <w:r>
        <w:t xml:space="preserve">, European Committee </w:t>
      </w:r>
      <w:r>
        <w:rPr>
          <w:color w:val="000000" w:themeColor="text1"/>
        </w:rPr>
        <w:t xml:space="preserve">of Social Rights, </w:t>
      </w:r>
      <w:r>
        <w:t>Council of Europe</w:t>
      </w:r>
      <w:r>
        <w:rPr>
          <w:color w:val="000000" w:themeColor="text1"/>
        </w:rPr>
        <w:t>.</w:t>
      </w:r>
    </w:p>
    <w:p w14:paraId="134B9294" w14:textId="77777777" w:rsidR="007F1C51" w:rsidRDefault="007F1C51" w:rsidP="007F1C51">
      <w:pPr>
        <w:pStyle w:val="Bibliography"/>
      </w:pPr>
      <w:r>
        <w:t xml:space="preserve">CoE (2018d), </w:t>
      </w:r>
      <w:r>
        <w:rPr>
          <w:i/>
          <w:iCs/>
          <w:color w:val="000000" w:themeColor="text1"/>
        </w:rPr>
        <w:t xml:space="preserve">Thematic group: labour rights - Conclusions for </w:t>
      </w:r>
      <w:r>
        <w:rPr>
          <w:i/>
          <w:iCs/>
        </w:rPr>
        <w:t>Moldova</w:t>
      </w:r>
      <w:r>
        <w:t xml:space="preserve">, European Committee </w:t>
      </w:r>
      <w:r>
        <w:rPr>
          <w:color w:val="000000" w:themeColor="text1"/>
        </w:rPr>
        <w:t xml:space="preserve">of Social Rights, </w:t>
      </w:r>
      <w:r>
        <w:t>Council of Europe</w:t>
      </w:r>
      <w:r>
        <w:rPr>
          <w:color w:val="000000" w:themeColor="text1"/>
        </w:rPr>
        <w:t>.</w:t>
      </w:r>
    </w:p>
    <w:p w14:paraId="5542F55B" w14:textId="77777777" w:rsidR="007F1C51" w:rsidRDefault="007F1C51" w:rsidP="007F1C51">
      <w:pPr>
        <w:pStyle w:val="Bibliography"/>
      </w:pPr>
      <w:r>
        <w:t xml:space="preserve">CoE (2018e), </w:t>
      </w:r>
      <w:r>
        <w:rPr>
          <w:i/>
          <w:iCs/>
          <w:color w:val="000000" w:themeColor="text1"/>
        </w:rPr>
        <w:t xml:space="preserve">Thematic group: labour rights - Conclusions for </w:t>
      </w:r>
      <w:r>
        <w:rPr>
          <w:i/>
          <w:iCs/>
        </w:rPr>
        <w:t>Ukraine</w:t>
      </w:r>
      <w:r>
        <w:t xml:space="preserve">, European Committee </w:t>
      </w:r>
      <w:r>
        <w:rPr>
          <w:color w:val="000000" w:themeColor="text1"/>
        </w:rPr>
        <w:t xml:space="preserve">of Social Rights, </w:t>
      </w:r>
      <w:r>
        <w:t>Council of Europe</w:t>
      </w:r>
      <w:r>
        <w:rPr>
          <w:color w:val="000000" w:themeColor="text1"/>
        </w:rPr>
        <w:t>.</w:t>
      </w:r>
    </w:p>
    <w:p w14:paraId="04CB89BD" w14:textId="77777777" w:rsidR="007F1C51" w:rsidRDefault="007F1C51" w:rsidP="007F1C51">
      <w:pPr>
        <w:pStyle w:val="Bibliography"/>
      </w:pPr>
      <w:r>
        <w:t xml:space="preserve">CoE (2016) </w:t>
      </w:r>
      <w:r>
        <w:rPr>
          <w:i/>
        </w:rPr>
        <w:t>Recommendation of the Committee of Ministers CM/Rec(2016)3  to Member States on Human Rights and Business</w:t>
      </w:r>
      <w:r>
        <w:t>.</w:t>
      </w:r>
    </w:p>
    <w:p w14:paraId="0F6FDDCC" w14:textId="2A93E190" w:rsidR="007F1C51" w:rsidRDefault="007F1C51" w:rsidP="007F1C51">
      <w:pPr>
        <w:pStyle w:val="Bibliography"/>
      </w:pPr>
      <w:r>
        <w:t xml:space="preserve">CoE (1996), </w:t>
      </w:r>
      <w:r>
        <w:rPr>
          <w:i/>
        </w:rPr>
        <w:t>European Social Charter (revised)</w:t>
      </w:r>
      <w:r>
        <w:t>, Council of Europe, ETS No.163, Strasbourg, 03/05/1996, www.coe.int/en/web/conventions/full-list/-/conventions/treaty/163.</w:t>
      </w:r>
    </w:p>
    <w:p w14:paraId="519C8F2F" w14:textId="77777777" w:rsidR="007F1C51" w:rsidRDefault="007F1C51" w:rsidP="007F1C51">
      <w:pPr>
        <w:pStyle w:val="Bibliography"/>
        <w:rPr>
          <w:noProof/>
        </w:rPr>
      </w:pPr>
      <w:r>
        <w:rPr>
          <w:noProof/>
        </w:rPr>
        <w:lastRenderedPageBreak/>
        <w:t xml:space="preserve">Criclivaia, D. (2015), “Moldovan Tax Reform: 25 years of changes”, </w:t>
      </w:r>
      <w:r>
        <w:rPr>
          <w:i/>
          <w:iCs/>
          <w:noProof/>
        </w:rPr>
        <w:t>Scientific Papers Series Management, Economic Engineering in Agriculture and Rural Development, 15</w:t>
      </w:r>
      <w:r>
        <w:rPr>
          <w:noProof/>
        </w:rPr>
        <w:t>(3). doi:ISSN 2284-7995.</w:t>
      </w:r>
    </w:p>
    <w:p w14:paraId="7E2DE120" w14:textId="77777777" w:rsidR="007F1C51" w:rsidRDefault="007F1C51" w:rsidP="007F1C51">
      <w:pPr>
        <w:pStyle w:val="Bibliography"/>
        <w:rPr>
          <w:noProof/>
        </w:rPr>
      </w:pPr>
      <w:r>
        <w:rPr>
          <w:noProof/>
        </w:rPr>
        <w:t xml:space="preserve">De Mooij, R., and Ederveen, S. (2003), “Taxation and foreign direct investment: a synthesis of empirical research”, </w:t>
      </w:r>
      <w:r>
        <w:rPr>
          <w:i/>
          <w:iCs/>
          <w:noProof/>
        </w:rPr>
        <w:t>International Tax and Public Finance, 10</w:t>
      </w:r>
      <w:r>
        <w:rPr>
          <w:noProof/>
        </w:rPr>
        <w:t>, 673–693.</w:t>
      </w:r>
    </w:p>
    <w:p w14:paraId="41228DC6" w14:textId="77777777" w:rsidR="007F1C51" w:rsidRDefault="007F1C51" w:rsidP="007F1C51">
      <w:pPr>
        <w:pStyle w:val="Bibliography"/>
      </w:pPr>
      <w:r>
        <w:t xml:space="preserve">EBRD (2018), </w:t>
      </w:r>
      <w:r>
        <w:rPr>
          <w:i/>
        </w:rPr>
        <w:t>Special Study: The EBRD’s Investment Climate Support Activities BOI CASE STUDY</w:t>
      </w:r>
      <w:r>
        <w:t>, SS15-086.</w:t>
      </w:r>
    </w:p>
    <w:p w14:paraId="65A5B63A" w14:textId="77777777" w:rsidR="007F1C51" w:rsidRDefault="007F1C51" w:rsidP="007F1C51">
      <w:pPr>
        <w:pStyle w:val="Bibliography"/>
      </w:pPr>
      <w:r>
        <w:t xml:space="preserve">EC (2019a), </w:t>
      </w:r>
      <w:r>
        <w:rPr>
          <w:i/>
        </w:rPr>
        <w:t>Joint Staff Working Document: Association Implementation Report on Georgia</w:t>
      </w:r>
      <w:r>
        <w:t xml:space="preserve">, 30 January, SWD(2019) 16 final </w:t>
      </w:r>
    </w:p>
    <w:p w14:paraId="214CABFC" w14:textId="77777777" w:rsidR="007F1C51" w:rsidRDefault="007F1C51" w:rsidP="007F1C51">
      <w:pPr>
        <w:pStyle w:val="Bibliography"/>
        <w:rPr>
          <w:rFonts w:eastAsia="Times New Roman"/>
        </w:rPr>
      </w:pPr>
      <w:r>
        <w:t xml:space="preserve">EC (2019b), </w:t>
      </w:r>
      <w:r>
        <w:rPr>
          <w:i/>
        </w:rPr>
        <w:t>Joint Staff Working Document: Partnership Implementation Report on Armenia</w:t>
      </w:r>
      <w:r>
        <w:t xml:space="preserve">, 20 May, SWD(2019) 191 final </w:t>
      </w:r>
    </w:p>
    <w:p w14:paraId="156E9F04" w14:textId="77777777" w:rsidR="007F1C51" w:rsidRDefault="007F1C51" w:rsidP="007F1C51">
      <w:pPr>
        <w:pStyle w:val="Bibliography"/>
      </w:pPr>
      <w:r>
        <w:t xml:space="preserve">EC (2019c), </w:t>
      </w:r>
      <w:r>
        <w:rPr>
          <w:i/>
        </w:rPr>
        <w:t>Joint Staff Working Document: Association Implementation Report on Moldova</w:t>
      </w:r>
      <w:r>
        <w:t xml:space="preserve">, 11 September, SWD(2019) 325 final </w:t>
      </w:r>
    </w:p>
    <w:p w14:paraId="4FD72655" w14:textId="77777777" w:rsidR="007F1C51" w:rsidRDefault="007F1C51" w:rsidP="007F1C51">
      <w:pPr>
        <w:pStyle w:val="Bibliography"/>
      </w:pPr>
      <w:r>
        <w:t xml:space="preserve">EC (2019d), </w:t>
      </w:r>
      <w:r>
        <w:rPr>
          <w:i/>
        </w:rPr>
        <w:t>Joint Staff Working Document: Association Implementation Report on Ukraine</w:t>
      </w:r>
      <w:r>
        <w:t xml:space="preserve">, 12 December, SWD(2019) 433 final </w:t>
      </w:r>
    </w:p>
    <w:p w14:paraId="0BE66878" w14:textId="5FABD426" w:rsidR="007F1C51" w:rsidRDefault="007F1C51" w:rsidP="007F1C51">
      <w:pPr>
        <w:pStyle w:val="Bibliography"/>
      </w:pPr>
      <w:r>
        <w:rPr>
          <w:color w:val="000000" w:themeColor="text1"/>
        </w:rPr>
        <w:t>EPSU (2019), “</w:t>
      </w:r>
      <w:r>
        <w:rPr>
          <w:iCs/>
          <w:color w:val="000000" w:themeColor="text1"/>
        </w:rPr>
        <w:t>Update on the situation in Ukraine”</w:t>
      </w:r>
      <w:r>
        <w:rPr>
          <w:color w:val="000000" w:themeColor="text1"/>
        </w:rPr>
        <w:t>, E</w:t>
      </w:r>
      <w:r>
        <w:rPr>
          <w:i/>
          <w:color w:val="000000" w:themeColor="text1"/>
        </w:rPr>
        <w:t>uropean Public Service Union</w:t>
      </w:r>
      <w:r>
        <w:rPr>
          <w:color w:val="000000" w:themeColor="text1"/>
        </w:rPr>
        <w:t xml:space="preserve">, 12 December, </w:t>
      </w:r>
      <w:r>
        <w:t>www.epsu.org/article/update-situation-ukraine.</w:t>
      </w:r>
    </w:p>
    <w:p w14:paraId="2142720D" w14:textId="77777777" w:rsidR="007F1C51" w:rsidRDefault="007F1C51" w:rsidP="007F1C51">
      <w:pPr>
        <w:pStyle w:val="Bibliography"/>
        <w:rPr>
          <w:noProof/>
        </w:rPr>
      </w:pPr>
      <w:r>
        <w:rPr>
          <w:noProof/>
        </w:rPr>
        <w:t xml:space="preserve">EU (2019), “Association Agreement with Ukraine”, </w:t>
      </w:r>
      <w:r>
        <w:rPr>
          <w:i/>
        </w:rPr>
        <w:t>Official Journal of the European Union</w:t>
      </w:r>
      <w:r>
        <w:rPr>
          <w:noProof/>
        </w:rPr>
        <w:t>, 8 July 2019, https://eur-lex.europa.eu/legal-content/EN/TXT/PDF/?uri=CELEX:02014A0529(01)-20190708&amp;from=EN.</w:t>
      </w:r>
    </w:p>
    <w:p w14:paraId="0D1E27E1" w14:textId="77777777" w:rsidR="007F1C51" w:rsidRDefault="007F1C51" w:rsidP="007F1C51">
      <w:pPr>
        <w:pStyle w:val="Bibliography"/>
        <w:rPr>
          <w:noProof/>
        </w:rPr>
      </w:pPr>
      <w:r>
        <w:rPr>
          <w:noProof/>
        </w:rPr>
        <w:t xml:space="preserve">EU (2014a), “Association Agreement with Georgia”, </w:t>
      </w:r>
      <w:r>
        <w:rPr>
          <w:i/>
        </w:rPr>
        <w:t>Official Journal of the European Union</w:t>
      </w:r>
      <w:r>
        <w:rPr>
          <w:noProof/>
        </w:rPr>
        <w:t>, 30 August 2014, https://eur-lex.europa.eu/legal-content/en/TXT/PDF/?uri=CELEX:22014A0830(02).</w:t>
      </w:r>
    </w:p>
    <w:p w14:paraId="58EC9D55" w14:textId="77777777" w:rsidR="007F1C51" w:rsidRDefault="007F1C51" w:rsidP="007F1C51">
      <w:pPr>
        <w:pStyle w:val="Bibliography"/>
        <w:rPr>
          <w:noProof/>
        </w:rPr>
      </w:pPr>
      <w:r>
        <w:rPr>
          <w:noProof/>
        </w:rPr>
        <w:t xml:space="preserve">EU (2014b), “Association Agreement with the Republic of Moldova”, </w:t>
      </w:r>
      <w:r>
        <w:rPr>
          <w:i/>
        </w:rPr>
        <w:t>Official Journal of the European Union</w:t>
      </w:r>
      <w:r>
        <w:rPr>
          <w:noProof/>
        </w:rPr>
        <w:t>, 30 August 2014, https://eur-lex.europa.eu/legal-content/EN/TXT/PDF/?uri=CELEX:22014A0830%2801%29&amp;from=EN.</w:t>
      </w:r>
    </w:p>
    <w:p w14:paraId="085CA15F" w14:textId="00108A0B" w:rsidR="007F1C51" w:rsidRDefault="007F1C51" w:rsidP="007F1C51">
      <w:pPr>
        <w:pStyle w:val="Bibliography"/>
        <w:rPr>
          <w:noProof/>
        </w:rPr>
      </w:pPr>
      <w:r>
        <w:rPr>
          <w:noProof/>
        </w:rPr>
        <w:t xml:space="preserve">EY (2018a), </w:t>
      </w:r>
      <w:r>
        <w:rPr>
          <w:i/>
          <w:iCs/>
          <w:noProof/>
        </w:rPr>
        <w:t>2018 Worldwide Corporate Tax Guide,</w:t>
      </w:r>
      <w:r>
        <w:rPr>
          <w:noProof/>
        </w:rPr>
        <w:t xml:space="preserve"> Ernst and Young, retrieved 06 18, 2019, from www.ey.com/Publication/vwLUAssets/EY_Worldwide_Corporate_Tax_Guide_2018/%24File/EY-2018-worldwide-corporate-tax-guide.pdf.</w:t>
      </w:r>
    </w:p>
    <w:p w14:paraId="64A764AB" w14:textId="77777777" w:rsidR="007F1C51" w:rsidRDefault="007F1C51" w:rsidP="007F1C51">
      <w:pPr>
        <w:pStyle w:val="Bibliography"/>
      </w:pPr>
      <w:r>
        <w:t xml:space="preserve">EY (2018b), </w:t>
      </w:r>
      <w:r>
        <w:rPr>
          <w:i/>
        </w:rPr>
        <w:t>Extractive Industries Transparency Initiative (EITI) National Report of Ukraine 2016</w:t>
      </w:r>
      <w:r>
        <w:rPr>
          <w:i/>
          <w:iCs/>
          <w:noProof/>
        </w:rPr>
        <w:t>,</w:t>
      </w:r>
      <w:r>
        <w:rPr>
          <w:noProof/>
        </w:rPr>
        <w:t xml:space="preserve"> Ernst and Young</w:t>
      </w:r>
      <w:r>
        <w:t>, http://eiti.org.ua/wp-content/uploads/2018/06/Zvit-IPVH_EN_final.pdf.</w:t>
      </w:r>
    </w:p>
    <w:p w14:paraId="04CDE5F1" w14:textId="2EE052F8" w:rsidR="007F1C51" w:rsidRDefault="007F1C51" w:rsidP="007F1C51">
      <w:pPr>
        <w:pStyle w:val="Bibliography"/>
      </w:pPr>
      <w:r>
        <w:t xml:space="preserve">EY (2018c), </w:t>
      </w:r>
      <w:r>
        <w:rPr>
          <w:i/>
        </w:rPr>
        <w:t>Armenia Extractive Industries Transparency Initiative (EITI) Report 2016-2017</w:t>
      </w:r>
      <w:r>
        <w:t>,</w:t>
      </w:r>
      <w:r>
        <w:rPr>
          <w:noProof/>
        </w:rPr>
        <w:t xml:space="preserve"> Ernst and Young,</w:t>
      </w:r>
      <w:r>
        <w:t xml:space="preserve"> www.eiti.am/files/annul_reports/main/1/EITI_Report_Armenia_EY_Eng_2018.pdf.</w:t>
      </w:r>
    </w:p>
    <w:p w14:paraId="69FAFEA7" w14:textId="135F1007" w:rsidR="007F1C51" w:rsidRDefault="007F1C51" w:rsidP="007F1C51">
      <w:pPr>
        <w:pStyle w:val="Bibliography"/>
        <w:rPr>
          <w:noProof/>
        </w:rPr>
      </w:pPr>
      <w:r>
        <w:rPr>
          <w:noProof/>
        </w:rPr>
        <w:t>GANHRI (2019), “Chart of the Status of National Institutions”, Accredited by the Global Alliance of National Human Rights Institutions (GANHRI)</w:t>
      </w:r>
      <w:r w:rsidR="005F0DF2">
        <w:rPr>
          <w:noProof/>
        </w:rPr>
        <w:t xml:space="preserve">, </w:t>
      </w:r>
      <w:r>
        <w:rPr>
          <w:noProof/>
        </w:rPr>
        <w:t>www.ohchr.org/Documents/Countries/NHRI/Chart_Status_NIs.pdf.</w:t>
      </w:r>
    </w:p>
    <w:p w14:paraId="5D083E08" w14:textId="77777777" w:rsidR="007F1C51" w:rsidRDefault="007F1C51" w:rsidP="007F1C51">
      <w:pPr>
        <w:pStyle w:val="Bibliography"/>
      </w:pPr>
      <w:r>
        <w:t xml:space="preserve">Government of Azerbaijan (2011), </w:t>
      </w:r>
      <w:r>
        <w:rPr>
          <w:i/>
        </w:rPr>
        <w:t>Azerbaijan Corporate Governance Standards.</w:t>
      </w:r>
    </w:p>
    <w:p w14:paraId="2040B24B" w14:textId="77777777" w:rsidR="007F1C51" w:rsidRDefault="007F1C51" w:rsidP="007F1C51">
      <w:pPr>
        <w:pStyle w:val="Bibliography"/>
        <w:rPr>
          <w:noProof/>
          <w:lang w:val="en-US"/>
        </w:rPr>
      </w:pPr>
      <w:r>
        <w:rPr>
          <w:noProof/>
          <w:lang w:val="en-US"/>
        </w:rPr>
        <w:t xml:space="preserve">Government of Georgia (2015), </w:t>
      </w:r>
      <w:r>
        <w:rPr>
          <w:i/>
          <w:noProof/>
          <w:lang w:val="en-US"/>
        </w:rPr>
        <w:t>SME Development Strategy of Georgia 2016-2020</w:t>
      </w:r>
      <w:r>
        <w:rPr>
          <w:noProof/>
          <w:lang w:val="en-US"/>
        </w:rPr>
        <w:t>.</w:t>
      </w:r>
    </w:p>
    <w:p w14:paraId="6D04A49C" w14:textId="6AAAF5DF" w:rsidR="007F1C51" w:rsidRDefault="007F1C51" w:rsidP="007F1C51">
      <w:pPr>
        <w:pStyle w:val="Bibliography"/>
        <w:rPr>
          <w:lang w:val="en-US"/>
        </w:rPr>
      </w:pPr>
      <w:r>
        <w:rPr>
          <w:lang w:val="en-US"/>
        </w:rPr>
        <w:t xml:space="preserve">Government of Ukraine (2018), </w:t>
      </w:r>
      <w:r>
        <w:rPr>
          <w:i/>
          <w:lang w:val="en-US"/>
        </w:rPr>
        <w:t>State-owned Enterprises Governance Reform</w:t>
      </w:r>
      <w:r>
        <w:rPr>
          <w:lang w:val="en-US"/>
        </w:rPr>
        <w:t>,www.kmu.gov.ua/en/reformi/ekonomichne-zrostannya/prodazh-neefektivnogo-derzhavnogo-majna.</w:t>
      </w:r>
    </w:p>
    <w:p w14:paraId="662BEBCE" w14:textId="77777777" w:rsidR="007F1C51" w:rsidRDefault="007F1C51" w:rsidP="007F1C51">
      <w:pPr>
        <w:pStyle w:val="Bibliography"/>
      </w:pPr>
      <w:r>
        <w:t xml:space="preserve">GRECO (2019a), </w:t>
      </w:r>
      <w:r>
        <w:rPr>
          <w:i/>
        </w:rPr>
        <w:t>Fourth Evaluation Round: Corruption prevention in respect of members of parliament, judges and prosecutors, Compliance Report Georgia</w:t>
      </w:r>
      <w:r>
        <w:t xml:space="preserve">, Council of Europe, 2 July, GrecoRC4(2019)9, </w:t>
      </w:r>
      <w:r>
        <w:lastRenderedPageBreak/>
        <w:t>https://rm.coe.int/fourth-evaluation-round-corruption-prevention-in-respect-of-members-of/168095529a.</w:t>
      </w:r>
    </w:p>
    <w:p w14:paraId="3E0236D8" w14:textId="77777777" w:rsidR="007F1C51" w:rsidRDefault="007F1C51" w:rsidP="007F1C51">
      <w:pPr>
        <w:pStyle w:val="Bibliography"/>
      </w:pPr>
      <w:r>
        <w:t xml:space="preserve">GRECO (2019b), </w:t>
      </w:r>
      <w:r>
        <w:rPr>
          <w:i/>
        </w:rPr>
        <w:t>Fourth Evaluation Round: Corruption prevention in respect of members of parliament, judges and prosecutors, Second Compliance Report Azerbaijan</w:t>
      </w:r>
      <w:r>
        <w:t>, Council of Europe, 18 June, GrecoRC4(2019)3, https://rm.coe.int/fourth-evaluation-round-corruption-prevention-in-respect-of-members-of/168094f9b1.</w:t>
      </w:r>
    </w:p>
    <w:p w14:paraId="75FEE3B8" w14:textId="77777777" w:rsidR="007F1C51" w:rsidRDefault="007F1C51" w:rsidP="007F1C51">
      <w:pPr>
        <w:pStyle w:val="Bibliography"/>
        <w:rPr>
          <w:lang w:val="en-US"/>
        </w:rPr>
      </w:pPr>
      <w:r>
        <w:rPr>
          <w:lang w:val="en-US"/>
        </w:rPr>
        <w:t xml:space="preserve">GRECO (2019c), </w:t>
      </w:r>
      <w:r>
        <w:rPr>
          <w:i/>
          <w:lang w:val="en-US"/>
        </w:rPr>
        <w:t>Joint First and Second Evaluation Rounds: Public declaration of non-compliance in respect of Belarus</w:t>
      </w:r>
      <w:r>
        <w:rPr>
          <w:lang w:val="en-US"/>
        </w:rPr>
        <w:t>, Rule 32.2(iv), 19 March, GrecoRC1-2(2019)1, https://rm.coe.int/joint-first-and-second-evaluation-rounds-public-declaration-of-non-com/168093909f.</w:t>
      </w:r>
    </w:p>
    <w:p w14:paraId="4E72EF39" w14:textId="77777777" w:rsidR="007F1C51" w:rsidRDefault="007F1C51" w:rsidP="007F1C51">
      <w:pPr>
        <w:pStyle w:val="Bibliography"/>
      </w:pPr>
      <w:r>
        <w:t xml:space="preserve">GRECO (2017), </w:t>
      </w:r>
      <w:r>
        <w:rPr>
          <w:i/>
        </w:rPr>
        <w:t xml:space="preserve">Fourth Evaluation Round: Corruption prevention in respect of members of parliament, judges and prosecutors, Compliance Report Armenia, </w:t>
      </w:r>
      <w:r>
        <w:t>Council of Europe, 8 December, GrecoRC4(2017)15, https://rm.coe.int/fourth-evaluation-round-corruption-prevention-in-respect-of-members-of/1680775f12.</w:t>
      </w:r>
    </w:p>
    <w:p w14:paraId="2A502E68" w14:textId="0E4F0709" w:rsidR="007F1C51" w:rsidRDefault="007F1C51" w:rsidP="007F1C51">
      <w:pPr>
        <w:pStyle w:val="Bibliography"/>
      </w:pPr>
      <w:r>
        <w:t xml:space="preserve">Human Rights Watch (2019) “No Year without Deaths: A Decade of Deregulation Puts Georgian Miners at Risk”, 22 August, 2019, www.hrw.org/report/2019/08/22/no-year-without-deaths/decade-deregulation-puts-georgian-miners-risk. </w:t>
      </w:r>
    </w:p>
    <w:p w14:paraId="6111174F" w14:textId="77777777" w:rsidR="007F1C51" w:rsidRDefault="007F1C51" w:rsidP="007F1C51">
      <w:pPr>
        <w:pStyle w:val="Bibliography"/>
      </w:pPr>
      <w:r>
        <w:t xml:space="preserve">ILO (1919-2019), </w:t>
      </w:r>
      <w:r>
        <w:rPr>
          <w:i/>
        </w:rPr>
        <w:t>Conventions and Recommendations</w:t>
      </w:r>
      <w:r>
        <w:t>, https://www.ilo.org/dyn/normlex/en/.</w:t>
      </w:r>
    </w:p>
    <w:p w14:paraId="67B80F22" w14:textId="77777777" w:rsidR="007F1C51" w:rsidRDefault="007F1C51" w:rsidP="007F1C51">
      <w:pPr>
        <w:pStyle w:val="Bibliography"/>
        <w:rPr>
          <w:noProof/>
        </w:rPr>
      </w:pPr>
      <w:r>
        <w:rPr>
          <w:noProof/>
        </w:rPr>
        <w:t>IMF (2019), C</w:t>
      </w:r>
      <w:r>
        <w:rPr>
          <w:i/>
          <w:iCs/>
          <w:noProof/>
        </w:rPr>
        <w:t>orporate Taxation in the World Economy.</w:t>
      </w:r>
      <w:r>
        <w:rPr>
          <w:noProof/>
        </w:rPr>
        <w:t xml:space="preserve"> IMF Policy Paper, International Monetary Fund, Washington, D.C.</w:t>
      </w:r>
    </w:p>
    <w:p w14:paraId="1B297899" w14:textId="72269471" w:rsidR="007F1C51" w:rsidRDefault="007F1C51" w:rsidP="007F1C51">
      <w:pPr>
        <w:pStyle w:val="Bibliography"/>
        <w:rPr>
          <w:noProof/>
        </w:rPr>
      </w:pPr>
      <w:r>
        <w:rPr>
          <w:noProof/>
        </w:rPr>
        <w:t xml:space="preserve">IMF-OECD-UN-World Bank (2015), </w:t>
      </w:r>
      <w:r>
        <w:rPr>
          <w:i/>
          <w:iCs/>
          <w:noProof/>
        </w:rPr>
        <w:t>Options for Low Income Countries' Effective and Efficient Use of Tax Incentives for Investment,</w:t>
      </w:r>
      <w:r>
        <w:rPr>
          <w:noProof/>
        </w:rPr>
        <w:t xml:space="preserve"> A report prepared for the G20 Development Working Group by the IMF, OECD, UN and World Bank, Available at: www.imf.org/external/pp/ppindex.aspx.</w:t>
      </w:r>
    </w:p>
    <w:p w14:paraId="210458FB" w14:textId="77777777" w:rsidR="007F1C51" w:rsidRDefault="007F1C51" w:rsidP="007F1C51">
      <w:pPr>
        <w:pStyle w:val="Bibliography"/>
        <w:rPr>
          <w:noProof/>
        </w:rPr>
      </w:pPr>
      <w:r>
        <w:rPr>
          <w:noProof/>
        </w:rPr>
        <w:t xml:space="preserve">IRENA (2019), </w:t>
      </w:r>
      <w:r>
        <w:rPr>
          <w:i/>
          <w:iCs/>
          <w:noProof/>
        </w:rPr>
        <w:t>Renewables Readiness Assessment: Republic of Moldova,</w:t>
      </w:r>
      <w:r>
        <w:rPr>
          <w:noProof/>
        </w:rPr>
        <w:t xml:space="preserve"> Abu Dhabi: International Renewable Energy Agency.</w:t>
      </w:r>
    </w:p>
    <w:p w14:paraId="3ED64F07" w14:textId="45A18D9F" w:rsidR="007F1C51" w:rsidRDefault="007F1C51" w:rsidP="007F1C51">
      <w:pPr>
        <w:pStyle w:val="Bibliography"/>
        <w:rPr>
          <w:noProof/>
        </w:rPr>
      </w:pPr>
      <w:r>
        <w:rPr>
          <w:noProof/>
        </w:rPr>
        <w:t xml:space="preserve">ITUC (2019), “Ukraine’s government puts oligarchs and multinational enterprises ahead of its own people”, </w:t>
      </w:r>
      <w:r>
        <w:rPr>
          <w:i/>
          <w:noProof/>
        </w:rPr>
        <w:t>International Trade Union Confederation News</w:t>
      </w:r>
      <w:r>
        <w:rPr>
          <w:noProof/>
        </w:rPr>
        <w:t>, 30 December, www.ituc-csi.org/ukraine-draft-law .</w:t>
      </w:r>
    </w:p>
    <w:p w14:paraId="3EA2A213" w14:textId="4A0DCCEF" w:rsidR="007F1C51" w:rsidRDefault="007F1C51" w:rsidP="007F1C51">
      <w:pPr>
        <w:pStyle w:val="Bibliography"/>
        <w:rPr>
          <w:noProof/>
        </w:rPr>
      </w:pPr>
      <w:r>
        <w:rPr>
          <w:noProof/>
        </w:rPr>
        <w:t xml:space="preserve">Jafarova, A. (2013), “Azerbaijan may extend tax benefits for agricultural producers”, </w:t>
      </w:r>
      <w:r>
        <w:rPr>
          <w:i/>
          <w:iCs/>
          <w:noProof/>
        </w:rPr>
        <w:t>Azernews</w:t>
      </w:r>
      <w:r>
        <w:rPr>
          <w:noProof/>
        </w:rPr>
        <w:t>, Available at: www.azernews.az/nation/61087.html</w:t>
      </w:r>
    </w:p>
    <w:p w14:paraId="00308747" w14:textId="77777777" w:rsidR="007F1C51" w:rsidRDefault="007F1C51" w:rsidP="007F1C51">
      <w:pPr>
        <w:pStyle w:val="Bibliography"/>
        <w:rPr>
          <w:noProof/>
        </w:rPr>
      </w:pPr>
      <w:r>
        <w:rPr>
          <w:noProof/>
        </w:rPr>
        <w:t xml:space="preserve">James, S. (2013), </w:t>
      </w:r>
      <w:r>
        <w:rPr>
          <w:i/>
          <w:iCs/>
          <w:noProof/>
        </w:rPr>
        <w:t xml:space="preserve">Tax and Non-Tax Incentives and Investments: Evidence and Policy Implication, </w:t>
      </w:r>
      <w:r>
        <w:rPr>
          <w:noProof/>
        </w:rPr>
        <w:t>Available at: http://ssrn.com/abstract=2401905http://ssrn.com/abstract=2401905.</w:t>
      </w:r>
    </w:p>
    <w:p w14:paraId="60C25022" w14:textId="73985262" w:rsidR="007F1C51" w:rsidRPr="00D4604E" w:rsidRDefault="007F1C51" w:rsidP="007F1C51">
      <w:pPr>
        <w:pStyle w:val="Bibliography"/>
        <w:rPr>
          <w:noProof/>
        </w:rPr>
      </w:pPr>
      <w:r>
        <w:rPr>
          <w:noProof/>
        </w:rPr>
        <w:t xml:space="preserve">Lehis, L., Uustalu, E., Pahapill, H., and Klauson, I. (2008), “The Compatibility of the Estonian Corporate Income Tax System with Community Law”, </w:t>
      </w:r>
      <w:r>
        <w:rPr>
          <w:i/>
          <w:iCs/>
          <w:noProof/>
        </w:rPr>
        <w:t>Juridica International</w:t>
      </w:r>
      <w:r>
        <w:rPr>
          <w:noProof/>
        </w:rPr>
        <w:t>(2), pp. 14-24, Available at: www.juridicainternational.eu/public/pdf/ji_2008_2_14.pdf</w:t>
      </w:r>
    </w:p>
    <w:p w14:paraId="1989220A" w14:textId="11F8F841" w:rsidR="007F1C51" w:rsidRDefault="007F1C51" w:rsidP="007F1C51">
      <w:pPr>
        <w:pStyle w:val="Bibliography"/>
        <w:rPr>
          <w:noProof/>
        </w:rPr>
      </w:pPr>
      <w:r>
        <w:rPr>
          <w:noProof/>
        </w:rPr>
        <w:t>Martinez-Vazquez, J., and McNab, R. (2000), T</w:t>
      </w:r>
      <w:r>
        <w:rPr>
          <w:i/>
          <w:iCs/>
          <w:noProof/>
        </w:rPr>
        <w:t>he Tax Reform Experiement in Transitional Countries,</w:t>
      </w:r>
      <w:r>
        <w:rPr>
          <w:noProof/>
        </w:rPr>
        <w:t xml:space="preserve"> Bde. Working Paper 00-1, George State University.</w:t>
      </w:r>
    </w:p>
    <w:p w14:paraId="3CEB9AE5" w14:textId="77777777" w:rsidR="007F1C51" w:rsidRDefault="007F1C51" w:rsidP="007F1C51">
      <w:pPr>
        <w:pStyle w:val="Bibliography"/>
        <w:rPr>
          <w:noProof/>
        </w:rPr>
      </w:pPr>
      <w:r>
        <w:rPr>
          <w:noProof/>
        </w:rPr>
        <w:t xml:space="preserve">Masso, J., and Meriküll, J. (2011), “Macroeconomic effects of zero corporate income tax”, </w:t>
      </w:r>
      <w:r>
        <w:rPr>
          <w:i/>
          <w:iCs/>
          <w:noProof/>
        </w:rPr>
        <w:t>Baltic Journal of Economics, 11</w:t>
      </w:r>
      <w:r>
        <w:rPr>
          <w:noProof/>
        </w:rPr>
        <w:t>(2), 81-99.</w:t>
      </w:r>
    </w:p>
    <w:p w14:paraId="35A2250C" w14:textId="77777777" w:rsidR="007F1C51" w:rsidRPr="00B6684C" w:rsidRDefault="007F1C51" w:rsidP="007F1C51">
      <w:r>
        <w:t xml:space="preserve">OECD (forthcoming 2020), </w:t>
      </w:r>
      <w:r>
        <w:rPr>
          <w:i/>
          <w:iCs/>
          <w:noProof/>
        </w:rPr>
        <w:t xml:space="preserve">OECD Investment Policy Reviews: Egypt 2020, </w:t>
      </w:r>
      <w:r>
        <w:rPr>
          <w:iCs/>
          <w:noProof/>
        </w:rPr>
        <w:t>OECD Publishing, Paris.</w:t>
      </w:r>
    </w:p>
    <w:p w14:paraId="28741FBE" w14:textId="77777777" w:rsidR="007F1C51" w:rsidRPr="00FD3671" w:rsidRDefault="007F1C51" w:rsidP="007F1C51">
      <w:pPr>
        <w:pStyle w:val="Bibliography"/>
      </w:pPr>
      <w:r>
        <w:rPr>
          <w:noProof/>
        </w:rPr>
        <w:t>OECD (2019a)</w:t>
      </w:r>
      <w:r>
        <w:t>, FDI Qualities Indicators: Measuring the sustainable development impacts of investment, Paris. www.oecd.org/fr/investissement/fdi-qualities-indicators.htm.</w:t>
      </w:r>
    </w:p>
    <w:p w14:paraId="09F28276" w14:textId="2D0F2309" w:rsidR="007F1C51" w:rsidRDefault="007F1C51" w:rsidP="007F1C51">
      <w:pPr>
        <w:pStyle w:val="Bibliography"/>
        <w:rPr>
          <w:noProof/>
        </w:rPr>
      </w:pPr>
      <w:r>
        <w:rPr>
          <w:noProof/>
        </w:rPr>
        <w:lastRenderedPageBreak/>
        <w:t xml:space="preserve">OECD (2019b), </w:t>
      </w:r>
      <w:r>
        <w:rPr>
          <w:i/>
          <w:iCs/>
          <w:color w:val="000000" w:themeColor="text1"/>
        </w:rPr>
        <w:t>Adherence to the Declaration on International Investment and Multinational Enterprises, Ukraine: Third follow-up report, 26 September</w:t>
      </w:r>
      <w:r>
        <w:rPr>
          <w:color w:val="000000" w:themeColor="text1"/>
        </w:rPr>
        <w:t xml:space="preserve"> 2019.</w:t>
      </w:r>
    </w:p>
    <w:p w14:paraId="37839274" w14:textId="77777777" w:rsidR="007F1C51" w:rsidRDefault="007F1C51" w:rsidP="007F1C51">
      <w:pPr>
        <w:pStyle w:val="Bibliography"/>
        <w:rPr>
          <w:noProof/>
        </w:rPr>
      </w:pPr>
      <w:r>
        <w:rPr>
          <w:noProof/>
        </w:rPr>
        <w:t xml:space="preserve">OECD (2019c), </w:t>
      </w:r>
      <w:r>
        <w:rPr>
          <w:i/>
          <w:noProof/>
        </w:rPr>
        <w:t>Mapping of Investment Promotion Agencies: Middle East and North Africa</w:t>
      </w:r>
      <w:r>
        <w:rPr>
          <w:noProof/>
        </w:rPr>
        <w:t xml:space="preserve">, </w:t>
      </w:r>
      <w:r w:rsidRPr="00992456">
        <w:rPr>
          <w:noProof/>
        </w:rPr>
        <w:t>https://www.oecd.org/investment/Mapping-of-Investment-Promotion-Agencies-MED.pdf</w:t>
      </w:r>
      <w:r>
        <w:rPr>
          <w:noProof/>
        </w:rPr>
        <w:t>.</w:t>
      </w:r>
    </w:p>
    <w:p w14:paraId="4D963EB6" w14:textId="77777777" w:rsidR="007F1C51" w:rsidRDefault="007F1C51" w:rsidP="007F1C51">
      <w:pPr>
        <w:pStyle w:val="Bibliography"/>
        <w:rPr>
          <w:noProof/>
        </w:rPr>
      </w:pPr>
      <w:r>
        <w:rPr>
          <w:noProof/>
        </w:rPr>
        <w:t xml:space="preserve">OECD (2018a), </w:t>
      </w:r>
      <w:r>
        <w:rPr>
          <w:i/>
          <w:noProof/>
        </w:rPr>
        <w:t>Mapping of Investment Promotion Agencies in OECD countries</w:t>
      </w:r>
      <w:r>
        <w:rPr>
          <w:noProof/>
        </w:rPr>
        <w:t xml:space="preserve">, </w:t>
      </w:r>
      <w:r w:rsidRPr="0023512D">
        <w:rPr>
          <w:noProof/>
        </w:rPr>
        <w:t>http://www.oecd.org/investment/investment-policy/mapping-of-investment-promotion-agencies-in-OECD-countries.pdf</w:t>
      </w:r>
      <w:r>
        <w:rPr>
          <w:noProof/>
        </w:rPr>
        <w:t>.</w:t>
      </w:r>
    </w:p>
    <w:p w14:paraId="17F0AC67" w14:textId="77777777" w:rsidR="007F1C51" w:rsidRDefault="007F1C51" w:rsidP="007F1C51">
      <w:pPr>
        <w:pStyle w:val="Bibliography"/>
        <w:rPr>
          <w:noProof/>
        </w:rPr>
      </w:pPr>
      <w:r>
        <w:rPr>
          <w:noProof/>
        </w:rPr>
        <w:t xml:space="preserve">OECD (2018b), </w:t>
      </w:r>
      <w:r>
        <w:rPr>
          <w:i/>
          <w:iCs/>
          <w:noProof/>
        </w:rPr>
        <w:t>OECD Investment Policy Reviews: Viet Nam 2018,</w:t>
      </w:r>
      <w:r>
        <w:rPr>
          <w:noProof/>
        </w:rPr>
        <w:t xml:space="preserve"> OECD Publishing, Paris, https://doi.org/10.1787/19900910.</w:t>
      </w:r>
    </w:p>
    <w:p w14:paraId="0712AE8F" w14:textId="77777777" w:rsidR="007F1C51" w:rsidRDefault="007F1C51" w:rsidP="007F1C51">
      <w:pPr>
        <w:pStyle w:val="Bibliography"/>
      </w:pPr>
      <w:r>
        <w:t xml:space="preserve">OECD (2018c), (2018a), </w:t>
      </w:r>
      <w:r>
        <w:rPr>
          <w:i/>
        </w:rPr>
        <w:t>OECD Due Diligence Guidance for Responsible Business Conduct</w:t>
      </w:r>
      <w:r>
        <w:t xml:space="preserve">, </w:t>
      </w:r>
      <w:r w:rsidRPr="00E66FC4">
        <w:t>http://mneguidelines.oecd.org/OECD-Due-Diligence-Guidance-for-Responsible-Business-Conduct.pdf</w:t>
      </w:r>
      <w:r>
        <w:t>.</w:t>
      </w:r>
    </w:p>
    <w:p w14:paraId="72BF4DD5" w14:textId="77777777" w:rsidR="007F1C51" w:rsidRDefault="007F1C51" w:rsidP="007F1C51">
      <w:pPr>
        <w:pStyle w:val="Bibliography"/>
        <w:rPr>
          <w:lang w:val="en-US"/>
        </w:rPr>
      </w:pPr>
      <w:r>
        <w:rPr>
          <w:lang w:val="en-US"/>
        </w:rPr>
        <w:t>OECD (2018d), Ukraine: Additional follow-up report on the adherence to the Declaration on International Investment and Multinational Enterprises, 2 October, DAF/INV/RD(2018)2.</w:t>
      </w:r>
    </w:p>
    <w:p w14:paraId="3019D2D3" w14:textId="77777777" w:rsidR="007F1C51" w:rsidRPr="00FD3671" w:rsidRDefault="007F1C51" w:rsidP="007F1C51">
      <w:pPr>
        <w:pStyle w:val="Bibliography"/>
      </w:pPr>
      <w:r w:rsidRPr="00FD3671">
        <w:t>OECD and IDB (2017), Survey of Investment Promotion Agencies.</w:t>
      </w:r>
    </w:p>
    <w:p w14:paraId="69B9B899" w14:textId="77777777" w:rsidR="007F1C51" w:rsidRDefault="007F1C51" w:rsidP="007F1C51">
      <w:pPr>
        <w:pStyle w:val="Bibliography"/>
      </w:pPr>
      <w:r>
        <w:t xml:space="preserve">OECD (2016a), </w:t>
      </w:r>
      <w:r>
        <w:rPr>
          <w:i/>
        </w:rPr>
        <w:t>Greening the economy in Eastern Europe, the Caucasus and Central Asia</w:t>
      </w:r>
      <w:r>
        <w:t>, June, OECD, http://www.oecd.org/env/outreach/GATF%20pub%20cat%20web-3a.pdf.</w:t>
      </w:r>
    </w:p>
    <w:p w14:paraId="14EBBE85" w14:textId="77777777" w:rsidR="007F1C51" w:rsidRDefault="007F1C51" w:rsidP="007F1C51">
      <w:pPr>
        <w:pStyle w:val="Bibliography"/>
        <w:rPr>
          <w:noProof/>
        </w:rPr>
      </w:pPr>
      <w:r>
        <w:rPr>
          <w:noProof/>
        </w:rPr>
        <w:t xml:space="preserve"> OECD (2016b), </w:t>
      </w:r>
      <w:r>
        <w:rPr>
          <w:i/>
          <w:iCs/>
          <w:noProof/>
        </w:rPr>
        <w:t>Investment Policy Review: Ukraine,</w:t>
      </w:r>
      <w:r>
        <w:rPr>
          <w:noProof/>
        </w:rPr>
        <w:t xml:space="preserve"> OECD Publishing, Paris, https://doi.org/10.1787/19900910.</w:t>
      </w:r>
    </w:p>
    <w:p w14:paraId="32F8AE3D" w14:textId="77777777" w:rsidR="007F1C51" w:rsidRDefault="007F1C51" w:rsidP="007F1C51">
      <w:r>
        <w:t xml:space="preserve">OECD (2016c), </w:t>
      </w:r>
      <w:r>
        <w:rPr>
          <w:i/>
        </w:rPr>
        <w:t>SME Policy Index: Eastern Partner Countries 2016</w:t>
      </w:r>
      <w:r>
        <w:rPr>
          <w:i/>
          <w:iCs/>
          <w:noProof/>
        </w:rPr>
        <w:t>,</w:t>
      </w:r>
      <w:r>
        <w:rPr>
          <w:noProof/>
        </w:rPr>
        <w:t xml:space="preserve"> OECD Publishing, Paris, https://doi.org/10.1787/24136883.</w:t>
      </w:r>
    </w:p>
    <w:p w14:paraId="09411D4D" w14:textId="77777777" w:rsidR="007F1C51" w:rsidRDefault="007F1C51" w:rsidP="007F1C51">
      <w:pPr>
        <w:pStyle w:val="Bibliography"/>
        <w:rPr>
          <w:noProof/>
        </w:rPr>
      </w:pPr>
      <w:r>
        <w:rPr>
          <w:noProof/>
        </w:rPr>
        <w:t xml:space="preserve">OECD (2015a), </w:t>
      </w:r>
      <w:r>
        <w:rPr>
          <w:i/>
          <w:iCs/>
          <w:noProof/>
        </w:rPr>
        <w:t>Policy Framework for Investment, 2015 Edition,</w:t>
      </w:r>
      <w:r>
        <w:rPr>
          <w:noProof/>
        </w:rPr>
        <w:t xml:space="preserve"> OECD Publishing, Paris, doi:https://dx.doi.org/10.1787/9789264208667-en.</w:t>
      </w:r>
    </w:p>
    <w:p w14:paraId="220DBCDC" w14:textId="77777777" w:rsidR="007F1C51" w:rsidRDefault="007F1C51" w:rsidP="007F1C51">
      <w:pPr>
        <w:pStyle w:val="Bibliography"/>
      </w:pPr>
      <w:r>
        <w:t xml:space="preserve">OECD (2015b), </w:t>
      </w:r>
      <w:r>
        <w:rPr>
          <w:i/>
        </w:rPr>
        <w:t>OECD Guidelines on Corporate Governance of State-Owned Enterprises, 2015 Edition</w:t>
      </w:r>
      <w:r>
        <w:t xml:space="preserve">, OECD Publishing, Paris, </w:t>
      </w:r>
      <w:r w:rsidRPr="00AF35C3">
        <w:t>https://doi.org/10.1787/9789264244160-en</w:t>
      </w:r>
      <w:r>
        <w:t>.</w:t>
      </w:r>
    </w:p>
    <w:p w14:paraId="04130C02" w14:textId="77777777" w:rsidR="007F1C51" w:rsidRDefault="007F1C51" w:rsidP="007F1C51">
      <w:pPr>
        <w:pStyle w:val="Bibliography"/>
      </w:pPr>
      <w:r>
        <w:t xml:space="preserve">OECD (2015c) </w:t>
      </w:r>
      <w:r>
        <w:rPr>
          <w:i/>
          <w:iCs/>
        </w:rPr>
        <w:t>Review of Agricultural Investment Policies of Ukraine</w:t>
      </w:r>
      <w:r>
        <w:t xml:space="preserve">, www.oecd.org/ globalrelations/Agricultural_Investment_Policies_Ukraine_ENG.pdf. </w:t>
      </w:r>
    </w:p>
    <w:p w14:paraId="69C05229" w14:textId="77777777" w:rsidR="007F1C51" w:rsidRDefault="007F1C51" w:rsidP="007F1C51">
      <w:pPr>
        <w:pStyle w:val="Bibliography"/>
        <w:rPr>
          <w:noProof/>
        </w:rPr>
      </w:pPr>
      <w:r>
        <w:rPr>
          <w:noProof/>
        </w:rPr>
        <w:t xml:space="preserve"> OECD (2013), </w:t>
      </w:r>
      <w:r w:rsidRPr="00180769">
        <w:rPr>
          <w:i/>
          <w:iCs/>
          <w:noProof/>
        </w:rPr>
        <w:t>Principles to Enhance the Transparency and Governance of Tax Incentives for Investment in Developing Countries</w:t>
      </w:r>
      <w:r>
        <w:rPr>
          <w:iCs/>
          <w:noProof/>
        </w:rPr>
        <w:t xml:space="preserve">, </w:t>
      </w:r>
      <w:r w:rsidRPr="00180769">
        <w:rPr>
          <w:noProof/>
        </w:rPr>
        <w:t>http://www.oecd.org/ctp/tax-global/transparency-and-governance-principles.pdf</w:t>
      </w:r>
      <w:r>
        <w:rPr>
          <w:noProof/>
        </w:rPr>
        <w:t>.</w:t>
      </w:r>
    </w:p>
    <w:p w14:paraId="121CD9E5" w14:textId="77777777" w:rsidR="007F1C51" w:rsidRDefault="007F1C51" w:rsidP="007F1C51">
      <w:pPr>
        <w:pStyle w:val="Bibliography"/>
      </w:pPr>
      <w:r>
        <w:t xml:space="preserve">OECD (2011a), </w:t>
      </w:r>
      <w:r>
        <w:rPr>
          <w:i/>
        </w:rPr>
        <w:t xml:space="preserve">Declaration on International Investment and Multinational Enterprises, 2011 Edition, </w:t>
      </w:r>
      <w:r>
        <w:t>OECD, Paris, https://www.oecd.org/investment/investment-policy/oecddeclarationanddecisions.htm.</w:t>
      </w:r>
    </w:p>
    <w:p w14:paraId="77DFE85A" w14:textId="77777777" w:rsidR="007F1C51" w:rsidRPr="002A2FCA" w:rsidRDefault="007F1C51" w:rsidP="007F1C51">
      <w:pPr>
        <w:pStyle w:val="Bibliography"/>
      </w:pPr>
      <w:r>
        <w:t xml:space="preserve">OECD (2011b), </w:t>
      </w:r>
      <w:r>
        <w:rPr>
          <w:i/>
        </w:rPr>
        <w:t>OECD Guidelines for Multinational Enterprises, 2011 Edition</w:t>
      </w:r>
      <w:r>
        <w:t xml:space="preserve">, OECD Publishing, </w:t>
      </w:r>
      <w:r w:rsidRPr="002A2FCA">
        <w:t>Paris, https://www.oecd.org/daf/inv/mne/48004323.pdf.</w:t>
      </w:r>
    </w:p>
    <w:p w14:paraId="63E1AD71" w14:textId="77777777" w:rsidR="007F1C51" w:rsidRPr="002A2FCA" w:rsidRDefault="007F1C51" w:rsidP="007F1C51">
      <w:pPr>
        <w:pStyle w:val="Bibliography"/>
      </w:pPr>
      <w:r w:rsidRPr="002A2FCA">
        <w:t>OECD (2011</w:t>
      </w:r>
      <w:r>
        <w:t>c</w:t>
      </w:r>
      <w:r w:rsidRPr="002A2FCA">
        <w:t>), Attractiveness for Innovation: Location Factors for International Investment, OECD</w:t>
      </w:r>
      <w:r>
        <w:t xml:space="preserve"> </w:t>
      </w:r>
      <w:r w:rsidRPr="002A2FCA">
        <w:t>Publishing, Paris. http://dx.doi.org/10.1787/9789264104815-en.</w:t>
      </w:r>
    </w:p>
    <w:p w14:paraId="63C7C5DB" w14:textId="77777777" w:rsidR="007F1C51" w:rsidRDefault="007F1C51" w:rsidP="007F1C51">
      <w:pPr>
        <w:pStyle w:val="Bibliography"/>
        <w:rPr>
          <w:lang w:val="en-US"/>
        </w:rPr>
      </w:pPr>
      <w:r>
        <w:t xml:space="preserve">OHCHR (2020), </w:t>
      </w:r>
      <w:r>
        <w:rPr>
          <w:i/>
          <w:lang w:val="en-US"/>
        </w:rPr>
        <w:t>UN Human Rights Special Procedures 2010-2019 Database on Communications to Member States</w:t>
      </w:r>
      <w:r>
        <w:rPr>
          <w:lang w:val="en-US"/>
        </w:rPr>
        <w:t>, https://spcommreports.ohchr.org/Tmsearch/TMDocuments.</w:t>
      </w:r>
    </w:p>
    <w:p w14:paraId="01FE3B6D" w14:textId="77777777" w:rsidR="007F1C51" w:rsidRDefault="007F1C51" w:rsidP="007F1C51">
      <w:pPr>
        <w:pStyle w:val="Bibliography"/>
      </w:pPr>
      <w:r>
        <w:t xml:space="preserve">OHCHR (2019a), “Time to act: Protect defenders who speak up against business impact on people and planet”, UN Working Group on Business and Human Rights, 10 December, https://www.ohchr.org/EN/NewsEvents/Pages/DisplayNews.aspx?NewsID=25416&amp;LangID=E </w:t>
      </w:r>
    </w:p>
    <w:p w14:paraId="113A8869" w14:textId="77777777" w:rsidR="007F1C51" w:rsidRDefault="007F1C51" w:rsidP="007F1C51">
      <w:pPr>
        <w:pStyle w:val="Bibliography"/>
        <w:rPr>
          <w:lang w:val="en-US"/>
        </w:rPr>
      </w:pPr>
      <w:r>
        <w:rPr>
          <w:lang w:val="en-US"/>
        </w:rPr>
        <w:lastRenderedPageBreak/>
        <w:t xml:space="preserve">OHCHR (2019b), “Visit to the Republic of Moldova”, </w:t>
      </w:r>
      <w:r>
        <w:rPr>
          <w:i/>
          <w:lang w:val="en-US"/>
        </w:rPr>
        <w:t>UN Special Rapporteur on the situation of Human Rights Defenders</w:t>
      </w:r>
      <w:r>
        <w:rPr>
          <w:lang w:val="en-US"/>
        </w:rPr>
        <w:t>, A/HRC/40/60/Add.3.</w:t>
      </w:r>
    </w:p>
    <w:p w14:paraId="0D8FE663" w14:textId="77777777" w:rsidR="007F1C51" w:rsidRDefault="007F1C51" w:rsidP="007F1C51">
      <w:pPr>
        <w:pStyle w:val="Bibliography"/>
        <w:rPr>
          <w:lang w:val="en-US"/>
        </w:rPr>
      </w:pPr>
      <w:r>
        <w:t xml:space="preserve">OHCHR (2019c), “Visit to Georgia”, </w:t>
      </w:r>
      <w:r>
        <w:rPr>
          <w:i/>
        </w:rPr>
        <w:t>UN Working Group on Business and Human Rights</w:t>
      </w:r>
      <w:r>
        <w:rPr>
          <w:lang w:val="en-US"/>
        </w:rPr>
        <w:t xml:space="preserve">, </w:t>
      </w:r>
      <w:r>
        <w:t>https://www.ohchr.org/EN/Issues/Business/Pages/WGCountryVisits.aspx.</w:t>
      </w:r>
    </w:p>
    <w:p w14:paraId="64861DF5" w14:textId="77777777" w:rsidR="007F1C51" w:rsidRDefault="007F1C51" w:rsidP="007F1C51">
      <w:pPr>
        <w:pStyle w:val="Bibliography"/>
      </w:pPr>
      <w:r>
        <w:t xml:space="preserve">OHCHR (2019d), “Visit to Ukraine”, </w:t>
      </w:r>
      <w:r>
        <w:rPr>
          <w:i/>
        </w:rPr>
        <w:t xml:space="preserve">Report of the Independent Expert on the Promotion of a Democratic and Equitable International Order, </w:t>
      </w:r>
      <w:r>
        <w:t>https://undocs.org/A/HRC/40/57/Add.1.</w:t>
      </w:r>
    </w:p>
    <w:p w14:paraId="0838307A" w14:textId="77777777" w:rsidR="007F1C51" w:rsidRDefault="007F1C51" w:rsidP="007F1C51">
      <w:pPr>
        <w:pStyle w:val="Bibliography"/>
      </w:pPr>
      <w:r>
        <w:t>OHCHR (2019e), “Compilation on Armenia”, Human rights Council, Working Group on the Universal Periodic Review, 35</w:t>
      </w:r>
      <w:r>
        <w:rPr>
          <w:vertAlign w:val="superscript"/>
        </w:rPr>
        <w:t>th</w:t>
      </w:r>
      <w:r>
        <w:t xml:space="preserve"> Session, 13 November, https://undocs.org/A/HRC/WG.6/35/ARM/2.</w:t>
      </w:r>
    </w:p>
    <w:p w14:paraId="6EA85E15" w14:textId="77777777" w:rsidR="007F1C51" w:rsidRDefault="007F1C51" w:rsidP="007F1C51">
      <w:pPr>
        <w:pStyle w:val="Bibliography"/>
      </w:pPr>
      <w:r>
        <w:t>OHCHR (2018), “Compilation on Azerbaijan”, Human rights Council, Working Group on the Universal Periodic Review, 30</w:t>
      </w:r>
      <w:r>
        <w:rPr>
          <w:vertAlign w:val="superscript"/>
        </w:rPr>
        <w:t>th</w:t>
      </w:r>
      <w:r>
        <w:t xml:space="preserve"> Session, 16 March, https://undocs.org/en/A/HRC/WG.6/30/AZE/2.</w:t>
      </w:r>
    </w:p>
    <w:p w14:paraId="4C2E3A73" w14:textId="77777777" w:rsidR="007F1C51" w:rsidRDefault="007F1C51" w:rsidP="007F1C51">
      <w:pPr>
        <w:pStyle w:val="Bibliography"/>
      </w:pPr>
      <w:r>
        <w:t>OHCHR (2017), “Compilation on Ukraine”, Human rights Council, Working Group on the Universal Periodic Review, 30</w:t>
      </w:r>
      <w:r>
        <w:rPr>
          <w:vertAlign w:val="superscript"/>
        </w:rPr>
        <w:t>th</w:t>
      </w:r>
      <w:r>
        <w:t xml:space="preserve"> Session, 17 November, https://undocs.org/A/HRC/WG.6/28/UKR/2.</w:t>
      </w:r>
    </w:p>
    <w:p w14:paraId="24851A22" w14:textId="77777777" w:rsidR="007F1C51" w:rsidRDefault="007F1C51" w:rsidP="007F1C51">
      <w:pPr>
        <w:pStyle w:val="Bibliography"/>
      </w:pPr>
      <w:r>
        <w:t>OHCHR (2016), “Concluding observations on the combined fifth and sixth periodic reports of Armenia”, UN Committee on the Elimination of Discrimination Against Women (CEDAW), 18 November 2016, https://undocs.org/en/CEDAW/C/ARM/CO/5-6.</w:t>
      </w:r>
    </w:p>
    <w:p w14:paraId="2148415A" w14:textId="77777777" w:rsidR="007F1C51" w:rsidRDefault="007F1C51" w:rsidP="007F1C51">
      <w:pPr>
        <w:pStyle w:val="Bibliography"/>
        <w:rPr>
          <w:lang w:val="en-US"/>
        </w:rPr>
      </w:pPr>
      <w:r>
        <w:t xml:space="preserve">OHCHR </w:t>
      </w:r>
      <w:r>
        <w:rPr>
          <w:lang w:val="en-US"/>
        </w:rPr>
        <w:t xml:space="preserve">(2015a), “Visit to Azerbaijan”, </w:t>
      </w:r>
      <w:r>
        <w:rPr>
          <w:i/>
        </w:rPr>
        <w:t>UN Working Group on Business and Human Rights</w:t>
      </w:r>
      <w:r>
        <w:rPr>
          <w:lang w:val="en-US"/>
        </w:rPr>
        <w:t>, A/HRC/29/28/Add.1.</w:t>
      </w:r>
    </w:p>
    <w:p w14:paraId="6BFFD99B" w14:textId="77777777" w:rsidR="007F1C51" w:rsidRDefault="007F1C51" w:rsidP="007F1C51">
      <w:pPr>
        <w:pStyle w:val="Bibliography"/>
      </w:pPr>
      <w:r>
        <w:t>OHCHR (2015b), “Compilation on Belarus”, Human rights Council, Working Group on the Universal Periodic Review, 22</w:t>
      </w:r>
      <w:r>
        <w:rPr>
          <w:vertAlign w:val="superscript"/>
        </w:rPr>
        <w:t>nd</w:t>
      </w:r>
      <w:r>
        <w:t xml:space="preserve"> Session, 2 March, https://documents-dds-ny.un.org/doc/UNDOC/GEN/G15/039/06/PDF/G1503906.pdf?OpenElement.</w:t>
      </w:r>
    </w:p>
    <w:p w14:paraId="514C0D30" w14:textId="77777777" w:rsidR="007F1C51" w:rsidRDefault="007F1C51" w:rsidP="007F1C51">
      <w:pPr>
        <w:pStyle w:val="Bibliography"/>
        <w:rPr>
          <w:noProof/>
        </w:rPr>
      </w:pPr>
      <w:r>
        <w:t>OHCHR (1966), International Covenant on Economic, Social and Cultural Rights, Adopted and opened for signature, ratification and accession by General Assembly resolution 2200A (XXI) of 16 December 1966.</w:t>
      </w:r>
    </w:p>
    <w:p w14:paraId="6DA2CA45" w14:textId="77777777" w:rsidR="007F1C51" w:rsidRDefault="007F1C51" w:rsidP="007F1C51">
      <w:pPr>
        <w:pStyle w:val="Bibliography"/>
        <w:rPr>
          <w:noProof/>
        </w:rPr>
      </w:pPr>
      <w:r>
        <w:rPr>
          <w:noProof/>
        </w:rPr>
        <w:t xml:space="preserve">Piatkowski, M., and Jarmuzek, M. (2008), </w:t>
      </w:r>
      <w:r>
        <w:rPr>
          <w:i/>
          <w:iCs/>
          <w:noProof/>
        </w:rPr>
        <w:t>Zero Corporate Income Tax in Moldova: Tax Competition and Its Implications for Eastern Europe.</w:t>
      </w:r>
    </w:p>
    <w:p w14:paraId="19369F1F" w14:textId="77777777" w:rsidR="007F1C51" w:rsidRDefault="007F1C51" w:rsidP="007F1C51">
      <w:pPr>
        <w:pStyle w:val="Bibliography"/>
        <w:rPr>
          <w:lang w:val="en-US"/>
        </w:rPr>
      </w:pPr>
      <w:r>
        <w:rPr>
          <w:lang w:val="en-US"/>
        </w:rPr>
        <w:t xml:space="preserve">Public Defender (Ombudsman) of Georgia (2018), </w:t>
      </w:r>
      <w:r>
        <w:rPr>
          <w:i/>
          <w:lang w:val="en-US"/>
        </w:rPr>
        <w:t>National Baseline Study on Business and Human Rights</w:t>
      </w:r>
      <w:r>
        <w:rPr>
          <w:lang w:val="en-US"/>
        </w:rPr>
        <w:t>, https://mk0globalnapshvllfq4.kinstacdn.com/wp-content/uploads/2018/04/georgia-national-baseline-assessment-english.pdf.</w:t>
      </w:r>
    </w:p>
    <w:p w14:paraId="5F832B05" w14:textId="77777777" w:rsidR="007F1C51" w:rsidRDefault="007F1C51" w:rsidP="007F1C51">
      <w:pPr>
        <w:pStyle w:val="Bibliography"/>
        <w:rPr>
          <w:noProof/>
        </w:rPr>
      </w:pPr>
      <w:r>
        <w:rPr>
          <w:noProof/>
        </w:rPr>
        <w:t xml:space="preserve">PwC (2019), </w:t>
      </w:r>
      <w:r>
        <w:rPr>
          <w:i/>
          <w:iCs/>
          <w:noProof/>
        </w:rPr>
        <w:t>Worldwide Tax Summaries -Corporate Taxation - Tax credits and incentives,</w:t>
      </w:r>
      <w:r>
        <w:rPr>
          <w:noProof/>
        </w:rPr>
        <w:t xml:space="preserve"> Price Waterhouse Coopers, Available at: http://taxsummaries.pwc.com.</w:t>
      </w:r>
    </w:p>
    <w:p w14:paraId="461658F3" w14:textId="77777777" w:rsidR="007F1C51" w:rsidRDefault="007F1C51" w:rsidP="007F1C51">
      <w:pPr>
        <w:pStyle w:val="Bibliography"/>
        <w:rPr>
          <w:noProof/>
        </w:rPr>
      </w:pPr>
      <w:r>
        <w:rPr>
          <w:noProof/>
        </w:rPr>
        <w:t xml:space="preserve">Redonda, A. and Neubig, T. (2018), “Assessing Tax Expenditure Reporting in G20 and OECD Economies”, </w:t>
      </w:r>
      <w:r>
        <w:rPr>
          <w:i/>
          <w:iCs/>
          <w:noProof/>
        </w:rPr>
        <w:t>Discussion Note, 2018/3</w:t>
      </w:r>
      <w:r>
        <w:rPr>
          <w:noProof/>
        </w:rPr>
        <w:t>.</w:t>
      </w:r>
    </w:p>
    <w:p w14:paraId="625F3EF6" w14:textId="77777777" w:rsidR="007F1C51" w:rsidRDefault="007F1C51" w:rsidP="007F1C51">
      <w:pPr>
        <w:pStyle w:val="Bibliography"/>
        <w:rPr>
          <w:noProof/>
        </w:rPr>
      </w:pPr>
      <w:r>
        <w:rPr>
          <w:noProof/>
        </w:rPr>
        <w:t xml:space="preserve">Staehr, K. (2014), “Corporate Income Taxation in Estonia: Is It Time to Abandon Dividend Taxation?”, </w:t>
      </w:r>
      <w:r>
        <w:rPr>
          <w:i/>
          <w:iCs/>
          <w:noProof/>
        </w:rPr>
        <w:t xml:space="preserve">Tallin University of Technology Economic Research Series, </w:t>
      </w:r>
      <w:r>
        <w:rPr>
          <w:noProof/>
        </w:rPr>
        <w:t>RB-2014/1.</w:t>
      </w:r>
    </w:p>
    <w:p w14:paraId="7AFF57A7" w14:textId="77777777" w:rsidR="007F1C51" w:rsidRDefault="007F1C51" w:rsidP="007F1C51">
      <w:pPr>
        <w:pStyle w:val="Bibliography"/>
      </w:pPr>
      <w:r>
        <w:t xml:space="preserve">UN (2011), </w:t>
      </w:r>
      <w:r>
        <w:rPr>
          <w:i/>
        </w:rPr>
        <w:t>United Nations Guiding Principles on Business and Human Rights: Implementing the United Nations Protect, Respect, and Remedy Framework</w:t>
      </w:r>
      <w:r>
        <w:t>, HR/PUB/11/04</w:t>
      </w:r>
    </w:p>
    <w:p w14:paraId="30D29E46" w14:textId="77777777" w:rsidR="007F1C51" w:rsidRDefault="007F1C51" w:rsidP="007F1C51">
      <w:pPr>
        <w:pStyle w:val="Bibliography"/>
      </w:pPr>
      <w:r>
        <w:t>UN Women (2019) “Number of WEPs signatories in Georgia reaches 43”, https://georgia.unwomen.org/en/news/stories/2019/12/number-of-weps-signatories-in-georgia-reaches-43.</w:t>
      </w:r>
    </w:p>
    <w:p w14:paraId="1B0EBFF8" w14:textId="77777777" w:rsidR="007F1C51" w:rsidRDefault="007F1C51" w:rsidP="007F1C51">
      <w:pPr>
        <w:pStyle w:val="Bibliography"/>
      </w:pPr>
      <w:r>
        <w:t xml:space="preserve">UNCTAD (2019), </w:t>
      </w:r>
      <w:r w:rsidRPr="001B3253">
        <w:rPr>
          <w:i/>
        </w:rPr>
        <w:t>Investment Policy Review of Armenia</w:t>
      </w:r>
      <w:r>
        <w:t>, United Nations, Geneva, http://creativecommons.org/licenses/by/3.0/igo/.</w:t>
      </w:r>
    </w:p>
    <w:p w14:paraId="1FE74D16" w14:textId="77777777" w:rsidR="007F1C51" w:rsidRDefault="007F1C51" w:rsidP="007F1C51">
      <w:pPr>
        <w:pStyle w:val="Bibliography"/>
      </w:pPr>
      <w:r>
        <w:lastRenderedPageBreak/>
        <w:t xml:space="preserve">UNDP (2019), Environmental Impact Assessment in Ukraine – Preparatory Support to the Launch of the National Registry, </w:t>
      </w:r>
      <w:r w:rsidRPr="00CE20DC">
        <w:t>https://www.ua.undp.org/content/ukraine/en/home/projects/environmental-impact-assessment.html</w:t>
      </w:r>
      <w:r>
        <w:rPr>
          <w:rStyle w:val="Hyperlink"/>
        </w:rPr>
        <w:t>.</w:t>
      </w:r>
    </w:p>
    <w:p w14:paraId="0784FD1E" w14:textId="77777777" w:rsidR="007F1C51" w:rsidRDefault="007F1C51" w:rsidP="007F1C51">
      <w:pPr>
        <w:pStyle w:val="Bibliography"/>
        <w:rPr>
          <w:color w:val="000000" w:themeColor="text1"/>
        </w:rPr>
      </w:pPr>
      <w:r>
        <w:rPr>
          <w:color w:val="000000" w:themeColor="text1"/>
        </w:rPr>
        <w:t>UNECE (2016a),</w:t>
      </w:r>
      <w:r>
        <w:rPr>
          <w:i/>
          <w:iCs/>
          <w:color w:val="000000" w:themeColor="text1"/>
        </w:rPr>
        <w:t xml:space="preserve"> Environmental Performance Review for Belarus, Third Review</w:t>
      </w:r>
      <w:r>
        <w:t xml:space="preserve">, </w:t>
      </w:r>
      <w:r>
        <w:rPr>
          <w:color w:val="000000" w:themeColor="text1"/>
        </w:rPr>
        <w:t>UN Economic Commission for Europe,</w:t>
      </w:r>
      <w:r>
        <w:t xml:space="preserve"> ECE/CEP/178</w:t>
      </w:r>
      <w:r>
        <w:rPr>
          <w:rFonts w:ascii="TimesNewRomanPSMT" w:hAnsi="TimesNewRomanPSMT"/>
        </w:rPr>
        <w:t>, https://www.unece.org/index.php?id=41226.</w:t>
      </w:r>
    </w:p>
    <w:p w14:paraId="13EF1D40" w14:textId="77777777" w:rsidR="007F1C51" w:rsidRDefault="007F1C51" w:rsidP="007F1C51">
      <w:pPr>
        <w:pStyle w:val="Bibliography"/>
      </w:pPr>
      <w:r>
        <w:rPr>
          <w:color w:val="000000" w:themeColor="text1"/>
        </w:rPr>
        <w:t>UNECE (2016b),</w:t>
      </w:r>
      <w:r>
        <w:rPr>
          <w:i/>
          <w:iCs/>
          <w:color w:val="000000" w:themeColor="text1"/>
        </w:rPr>
        <w:t xml:space="preserve"> Environmental Performance Review for Georgia, Third Review, </w:t>
      </w:r>
      <w:r>
        <w:rPr>
          <w:color w:val="000000" w:themeColor="text1"/>
        </w:rPr>
        <w:t>UN Economic Commission for Europe,</w:t>
      </w:r>
      <w:r>
        <w:t xml:space="preserve"> ECE/CEP/177, https://www.unece.org/index.php?id=42309.</w:t>
      </w:r>
    </w:p>
    <w:p w14:paraId="5741E050" w14:textId="77777777" w:rsidR="007F1C51" w:rsidRDefault="007F1C51" w:rsidP="007F1C51">
      <w:pPr>
        <w:pStyle w:val="Bibliography"/>
        <w:rPr>
          <w:rFonts w:ascii="TimesNewRomanPSMT" w:hAnsi="TimesNewRomanPSMT"/>
        </w:rPr>
      </w:pPr>
      <w:r>
        <w:rPr>
          <w:color w:val="000000" w:themeColor="text1"/>
        </w:rPr>
        <w:t>UNECE (2014),</w:t>
      </w:r>
      <w:r>
        <w:rPr>
          <w:i/>
          <w:iCs/>
          <w:color w:val="000000" w:themeColor="text1"/>
        </w:rPr>
        <w:t xml:space="preserve"> Environmental Performance Review for Republic of Moldova, Third Review, </w:t>
      </w:r>
      <w:r>
        <w:rPr>
          <w:color w:val="000000" w:themeColor="text1"/>
        </w:rPr>
        <w:t xml:space="preserve">UN Economic Commission for Europe, </w:t>
      </w:r>
      <w:r>
        <w:rPr>
          <w:rFonts w:ascii="TimesNewRomanPSMT" w:hAnsi="TimesNewRomanPSMT"/>
        </w:rPr>
        <w:t>ECE/CEP/171.</w:t>
      </w:r>
    </w:p>
    <w:p w14:paraId="15474285" w14:textId="77777777" w:rsidR="007F1C51" w:rsidRDefault="007F1C51" w:rsidP="007F1C51">
      <w:pPr>
        <w:pStyle w:val="Bibliography"/>
        <w:rPr>
          <w:rFonts w:ascii="TimesNewRomanPSMT" w:hAnsi="TimesNewRomanPSMT"/>
        </w:rPr>
      </w:pPr>
      <w:r>
        <w:t xml:space="preserve">UNECE (2011), </w:t>
      </w:r>
      <w:r>
        <w:rPr>
          <w:i/>
          <w:iCs/>
        </w:rPr>
        <w:t>Environmental Performance Review for Azerbaijan, Second Review</w:t>
      </w:r>
      <w:r>
        <w:t xml:space="preserve">, UN Economic Commission for Europe, </w:t>
      </w:r>
      <w:r>
        <w:rPr>
          <w:rFonts w:ascii="TimesNewRomanPSMT" w:hAnsi="TimesNewRomanPSMT"/>
        </w:rPr>
        <w:t>ECE/CEP/158.</w:t>
      </w:r>
    </w:p>
    <w:p w14:paraId="69CF998B" w14:textId="77777777" w:rsidR="007F1C51" w:rsidRDefault="007F1C51" w:rsidP="007F1C51">
      <w:pPr>
        <w:pStyle w:val="Bibliography"/>
      </w:pPr>
      <w:r>
        <w:rPr>
          <w:shd w:val="clear" w:color="auto" w:fill="FFFFFF"/>
        </w:rPr>
        <w:t>United States (2000), </w:t>
      </w:r>
      <w:r>
        <w:rPr>
          <w:i/>
          <w:iCs/>
        </w:rPr>
        <w:t>Investment climate statements</w:t>
      </w:r>
      <w:r>
        <w:t>, Washington, D.C.: U.S. Dept. of State, Bureau of Economic, Energy, and Business Affairs, International Finance and Development, Office of Investment Affairs, https://www.state.gov/reports/2019-investment-climate-statements.</w:t>
      </w:r>
    </w:p>
    <w:p w14:paraId="5C42504C" w14:textId="77777777" w:rsidR="007F1C51" w:rsidRDefault="007F1C51" w:rsidP="007F1C51">
      <w:pPr>
        <w:pStyle w:val="Bibliography"/>
      </w:pPr>
      <w:r>
        <w:t>World Bank, 2020. “Doing Business 2020”, World Bank Publications, The World Bank, number 32436, 09-2019, https://www.doingbusiness.org/.</w:t>
      </w:r>
    </w:p>
    <w:p w14:paraId="770F558A" w14:textId="77777777" w:rsidR="007F1C51" w:rsidRDefault="007F1C51" w:rsidP="007F1C51">
      <w:pPr>
        <w:pStyle w:val="Bibliography"/>
      </w:pPr>
      <w:r>
        <w:t xml:space="preserve">World Bank (2017a), </w:t>
      </w:r>
      <w:r>
        <w:rPr>
          <w:i/>
        </w:rPr>
        <w:t>The Republic of Azerbaijan: Corporate Governance and Ownership of State owned Enterprises – Technical Note</w:t>
      </w:r>
      <w:r>
        <w:t>, November, World Bank.</w:t>
      </w:r>
    </w:p>
    <w:p w14:paraId="2251787C" w14:textId="77777777" w:rsidR="007F1C51" w:rsidRPr="00566C5E" w:rsidRDefault="007F1C51" w:rsidP="007F1C51">
      <w:pPr>
        <w:pStyle w:val="Bibliography"/>
      </w:pPr>
      <w:r>
        <w:t xml:space="preserve">World Bank (2012), </w:t>
      </w:r>
      <w:r w:rsidRPr="00FD3671">
        <w:rPr>
          <w:i/>
        </w:rPr>
        <w:t>Global Investment Promotion Best Practices 2012</w:t>
      </w:r>
      <w:r>
        <w:t>, Investment Climate, World Bank Group.</w:t>
      </w:r>
    </w:p>
    <w:p w14:paraId="479D6DEC" w14:textId="785980DC" w:rsidR="005725CE" w:rsidRPr="00E37C50" w:rsidRDefault="007F1C51" w:rsidP="004C351C">
      <w:r>
        <w:t xml:space="preserve">Yale (2018), </w:t>
      </w:r>
      <w:r>
        <w:rPr>
          <w:i/>
        </w:rPr>
        <w:t>Yale Environmental Performance Index</w:t>
      </w:r>
      <w:r>
        <w:t>, Center for Environmental Law &amp; Policy, https://epi.envirocenter.yale</w:t>
      </w:r>
      <w:r w:rsidR="004C351C">
        <w:t>.edu.</w:t>
      </w:r>
    </w:p>
    <w:sectPr w:rsidR="005725CE" w:rsidRPr="00E37C50" w:rsidSect="006B2A75">
      <w:endnotePr>
        <w:numFmt w:val="decimal"/>
        <w:numRestart w:val="eachSect"/>
      </w:endnotePr>
      <w:pgSz w:w="11906" w:h="16838" w:code="9"/>
      <w:pgMar w:top="2098" w:right="1304" w:bottom="1928" w:left="1304" w:header="153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C71E" w14:textId="77777777" w:rsidR="00576F35" w:rsidRDefault="00576F35" w:rsidP="00CC3749">
      <w:pPr>
        <w:spacing w:after="0"/>
      </w:pPr>
    </w:p>
  </w:endnote>
  <w:endnote w:type="continuationSeparator" w:id="0">
    <w:p w14:paraId="27A72ECA" w14:textId="77777777" w:rsidR="00576F35" w:rsidRPr="00CF4424" w:rsidRDefault="00576F35" w:rsidP="00CF4424">
      <w:pPr>
        <w:pStyle w:val="Footer"/>
        <w:jc w:val="both"/>
      </w:pPr>
    </w:p>
  </w:endnote>
  <w:endnote w:type="continuationNotice" w:id="1">
    <w:p w14:paraId="3F1779F6" w14:textId="77777777" w:rsidR="00576F35" w:rsidRDefault="00576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tatLink">
    <w:panose1 w:val="02000000000000000000"/>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604617388"/>
      <w:showingPlcHdr/>
    </w:sdtPr>
    <w:sdtEndPr>
      <w:rPr>
        <w:caps w:val="0"/>
      </w:rPr>
    </w:sdtEndPr>
    <w:sdtContent>
      <w:p w14:paraId="6E9C93C8" w14:textId="77777777" w:rsidR="00576F35" w:rsidRDefault="00576F35" w:rsidP="00B568E8">
        <w:pPr>
          <w:pStyle w:val="Footer"/>
          <w:jc w:val="righ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336525092"/>
    </w:sdtPr>
    <w:sdtEndPr/>
    <w:sdtContent>
      <w:p w14:paraId="784CD576" w14:textId="77777777" w:rsidR="00576F35" w:rsidRPr="00FD7BD8" w:rsidRDefault="00576F35" w:rsidP="00B568E8">
        <w:pPr>
          <w:pStyle w:val="Footer"/>
          <w:jc w:val="left"/>
          <w:rPr>
            <w:caps w:val="0"/>
            <w:szCs w:val="16"/>
          </w:rPr>
        </w:pPr>
        <w:r w:rsidRPr="008B45FA">
          <w:t>Policy Guidance on the Structure of Insurance Regulation and Supervision © OECD 2020</w:t>
        </w:r>
      </w:p>
    </w:sdtContent>
  </w:sdt>
  <w:sdt>
    <w:sdtPr>
      <w:alias w:val="Classification"/>
      <w:tag w:val="txtHeaderClassif"/>
      <w:id w:val="-812329922"/>
    </w:sdtPr>
    <w:sdtEndPr/>
    <w:sdtContent>
      <w:p w14:paraId="36A5FBEA" w14:textId="77777777" w:rsidR="00576F35" w:rsidRPr="00FD7BD8" w:rsidRDefault="00576F35" w:rsidP="00B568E8">
        <w:pPr>
          <w:pStyle w:val="FooterClassification"/>
          <w:rPr>
            <w:szCs w:val="16"/>
          </w:rPr>
        </w:pPr>
        <w:r w:rsidRPr="008B45FA">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217002386"/>
      <w:lock w:val="sdtLocked"/>
    </w:sdtPr>
    <w:sdtEndPr/>
    <w:sdtContent>
      <w:p w14:paraId="2D2EDBD6" w14:textId="77777777" w:rsidR="00576F35" w:rsidRDefault="00576F35" w:rsidP="004E100F">
        <w:pPr>
          <w:pStyle w:val="Footer"/>
          <w:jc w:val="right"/>
        </w:pPr>
        <w:r>
          <w:t xml:space="preserve"> </w:t>
        </w:r>
      </w:p>
    </w:sdtContent>
  </w:sdt>
  <w:sdt>
    <w:sdtPr>
      <w:alias w:val="Classification"/>
      <w:tag w:val="txtHeaderClassif"/>
      <w:id w:val="-1918931641"/>
      <w:lock w:val="sdtLocked"/>
    </w:sdtPr>
    <w:sdtEndPr/>
    <w:sdtContent>
      <w:p w14:paraId="79B467D9" w14:textId="77777777" w:rsidR="00576F35" w:rsidRDefault="00576F35" w:rsidP="004E100F">
        <w:pPr>
          <w:pStyle w:val="FooterClassification"/>
          <w:jc w:val="left"/>
        </w:pP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884096409"/>
      <w:lock w:val="sdtLocked"/>
    </w:sdtPr>
    <w:sdtEndPr/>
    <w:sdtContent>
      <w:p w14:paraId="50706432" w14:textId="77777777" w:rsidR="00576F35" w:rsidRDefault="00576F35" w:rsidP="004E100F">
        <w:pPr>
          <w:pStyle w:val="Footer"/>
          <w:jc w:val="left"/>
          <w:rPr>
            <w:caps w:val="0"/>
            <w:sz w:val="22"/>
          </w:rPr>
        </w:pPr>
        <w:r>
          <w:t xml:space="preserve"> </w:t>
        </w:r>
      </w:p>
    </w:sdtContent>
  </w:sdt>
  <w:sdt>
    <w:sdtPr>
      <w:alias w:val="Classification"/>
      <w:tag w:val="txtHeaderClassif"/>
      <w:id w:val="-311407045"/>
      <w:lock w:val="sdtLocked"/>
    </w:sdtPr>
    <w:sdtEndPr/>
    <w:sdtContent>
      <w:p w14:paraId="02C0B5D3" w14:textId="77777777" w:rsidR="00576F35" w:rsidRPr="004E100F" w:rsidRDefault="00576F35" w:rsidP="004E100F">
        <w:pPr>
          <w:pStyle w:val="FooterClassification"/>
          <w:rPr>
            <w:sz w:val="22"/>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FF7D3" w14:textId="77777777" w:rsidR="00576F35" w:rsidRDefault="00576F35" w:rsidP="00CC3749">
      <w:pPr>
        <w:spacing w:after="0"/>
      </w:pPr>
      <w:r>
        <w:separator/>
      </w:r>
    </w:p>
  </w:footnote>
  <w:footnote w:type="continuationSeparator" w:id="0">
    <w:p w14:paraId="221A3D70" w14:textId="77777777" w:rsidR="00576F35" w:rsidRDefault="00576F35" w:rsidP="00CC3749">
      <w:pPr>
        <w:spacing w:after="0"/>
      </w:pPr>
      <w:r>
        <w:continuationSeparator/>
      </w:r>
    </w:p>
  </w:footnote>
  <w:footnote w:type="continuationNotice" w:id="1">
    <w:p w14:paraId="01776408" w14:textId="77777777" w:rsidR="00576F35" w:rsidRDefault="00576F35">
      <w:pPr>
        <w:spacing w:after="0"/>
      </w:pPr>
    </w:p>
  </w:footnote>
  <w:footnote w:id="2">
    <w:p w14:paraId="6B31812F" w14:textId="77777777" w:rsidR="00576F35" w:rsidRDefault="00576F35">
      <w:pPr>
        <w:pStyle w:val="FootnoteText"/>
      </w:pPr>
      <w:r>
        <w:rPr>
          <w:rStyle w:val="FootnoteReference"/>
        </w:rPr>
        <w:footnoteRef/>
      </w:r>
      <w:r>
        <w:t xml:space="preserve"> The investment promotion agencies of Armenia and Moldova were undergoing restructuring at the time of drafting and unable to participate in the survey.</w:t>
      </w:r>
    </w:p>
  </w:footnote>
  <w:footnote w:id="3">
    <w:p w14:paraId="3EDFD85B" w14:textId="1825092C" w:rsidR="00576F35" w:rsidRDefault="00576F35">
      <w:pPr>
        <w:pStyle w:val="FootnoteText"/>
      </w:pPr>
      <w:r>
        <w:rPr>
          <w:rStyle w:val="FootnoteReference"/>
        </w:rPr>
        <w:footnoteRef/>
      </w:r>
      <w:r>
        <w:t xml:space="preserve"> Details of the broader SEZ frameworks that exist in the region are beyond the scope of this report, but could be addressed in the context of an in-depth regional investment policy review.</w:t>
      </w:r>
    </w:p>
  </w:footnote>
  <w:footnote w:id="4">
    <w:p w14:paraId="1B858886" w14:textId="77777777" w:rsidR="00576F35" w:rsidRDefault="00576F35" w:rsidP="00F555E3">
      <w:pPr>
        <w:pStyle w:val="FootnoteText"/>
      </w:pPr>
      <w:r>
        <w:rPr>
          <w:rStyle w:val="FootnoteReference"/>
        </w:rPr>
        <w:footnoteRef/>
      </w:r>
      <w:r>
        <w:t xml:space="preserve"> </w:t>
      </w:r>
      <w:r>
        <w:rPr>
          <w:color w:val="000000" w:themeColor="text1"/>
        </w:rPr>
        <w:t xml:space="preserve">See </w:t>
      </w:r>
      <w:r w:rsidRPr="00BF4289">
        <w:rPr>
          <w:color w:val="000000" w:themeColor="text1"/>
        </w:rPr>
        <w:t>http://amcham.az/committees/corporate-social-responsibility</w:t>
      </w:r>
      <w:r>
        <w:rPr>
          <w:color w:val="000000" w:themeColor="text1"/>
        </w:rPr>
        <w:t>.</w:t>
      </w:r>
    </w:p>
  </w:footnote>
  <w:footnote w:id="5">
    <w:p w14:paraId="6CD33E64" w14:textId="4999A695" w:rsidR="00576F35" w:rsidRDefault="00576F35" w:rsidP="00F555E3">
      <w:pPr>
        <w:pStyle w:val="FootnoteText"/>
      </w:pPr>
      <w:r>
        <w:rPr>
          <w:rStyle w:val="FootnoteReference"/>
        </w:rPr>
        <w:footnoteRef/>
      </w:r>
      <w:r>
        <w:t xml:space="preserve"> The full list of </w:t>
      </w:r>
      <w:r w:rsidRPr="00013C4A">
        <w:t xml:space="preserve">core international human rights treaties </w:t>
      </w:r>
      <w:r>
        <w:t xml:space="preserve">is available at </w:t>
      </w:r>
      <w:r w:rsidRPr="00253A03">
        <w:t>www.ohchr.org/EN/ProfessionalInterest/Pages/CoreInstruments.aspx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570386"/>
      <w:docPartObj>
        <w:docPartGallery w:val="Page Numbers (Top of Page)"/>
        <w:docPartUnique/>
      </w:docPartObj>
    </w:sdtPr>
    <w:sdtEndPr>
      <w:rPr>
        <w:noProof/>
      </w:rPr>
    </w:sdtEndPr>
    <w:sdtContent>
      <w:p w14:paraId="273CF91F" w14:textId="0055D014" w:rsidR="00576F35" w:rsidRDefault="00576F35">
        <w:pPr>
          <w:pStyle w:val="Header"/>
        </w:pPr>
        <w:r w:rsidRPr="00AA5F56">
          <w:rPr>
            <w:noProof/>
          </w:rPr>
          <w:fldChar w:fldCharType="begin"/>
        </w:r>
        <w:r>
          <w:rPr>
            <w:noProof/>
          </w:rPr>
          <w:instrText xml:space="preserve"> PAGE   \* MERGEFORMAT </w:instrText>
        </w:r>
        <w:r w:rsidRPr="00AA5F56">
          <w:rPr>
            <w:noProof/>
          </w:rPr>
          <w:fldChar w:fldCharType="separate"/>
        </w:r>
        <w:r w:rsidR="000A7ECF" w:rsidRPr="000A7ECF">
          <w:rPr>
            <w:b/>
            <w:bCs/>
            <w:noProof/>
          </w:rPr>
          <w:t>2</w:t>
        </w:r>
        <w:r w:rsidRPr="00AA5F56">
          <w:rPr>
            <w:b/>
            <w:bCs/>
            <w:noProof/>
          </w:rPr>
          <w:fldChar w:fldCharType="end"/>
        </w:r>
        <w:r w:rsidRPr="00AA5F56">
          <w:rPr>
            <w:b/>
            <w:bCs/>
            <w:noProof/>
          </w:rPr>
          <w:t xml:space="preserve"> </w:t>
        </w:r>
        <w:r>
          <w:rPr>
            <w:noProof/>
          </w:rPr>
          <w:t>|</w:t>
        </w:r>
        <w:r w:rsidRPr="00AA5F56">
          <w:rPr>
            <w:b/>
            <w:bCs/>
            <w:noProof/>
          </w:rPr>
          <w:t xml:space="preserve"> </w:t>
        </w:r>
      </w:p>
    </w:sdtContent>
  </w:sdt>
  <w:p w14:paraId="692DEF9A" w14:textId="77777777" w:rsidR="00576F35" w:rsidRDefault="0057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95DA" w14:textId="168E65F4" w:rsidR="00576F35" w:rsidRDefault="000A7ECF" w:rsidP="00B568E8">
    <w:pPr>
      <w:pStyle w:val="Header"/>
      <w:jc w:val="right"/>
    </w:pPr>
    <w:sdt>
      <w:sdtPr>
        <w:rPr>
          <w:rStyle w:val="HeaderTitle"/>
        </w:rPr>
        <w:alias w:val="Cote/Chapter"/>
        <w:tag w:val="txtHeaderValue"/>
        <w:id w:val="531000327"/>
      </w:sdtPr>
      <w:sdtEndPr>
        <w:rPr>
          <w:rStyle w:val="DefaultParagraphFont"/>
          <w:caps w:val="0"/>
          <w:sz w:val="22"/>
        </w:rPr>
      </w:sdtEndPr>
      <w:sdtContent>
        <w:r w:rsidR="00576F35">
          <w:rPr>
            <w:rStyle w:val="HeaderTitle"/>
          </w:rPr>
          <w:t xml:space="preserve"> </w:t>
        </w:r>
      </w:sdtContent>
    </w:sdt>
    <w:r w:rsidR="00576F35">
      <w:rPr>
        <w:rStyle w:val="PageNumber"/>
      </w:rPr>
      <w:t xml:space="preserve"> </w:t>
    </w:r>
    <w:r w:rsidR="00576F35">
      <w:rPr>
        <w:rStyle w:val="PageNumber"/>
      </w:rPr>
      <w:sym w:font="Symbol" w:char="F07C"/>
    </w:r>
    <w:r w:rsidR="00576F35">
      <w:rPr>
        <w:rStyle w:val="PageNumber"/>
      </w:rPr>
      <w:t xml:space="preserve"> </w:t>
    </w:r>
    <w:sdt>
      <w:sdtPr>
        <w:rPr>
          <w:rStyle w:val="PageNumber"/>
        </w:rPr>
        <w:alias w:val="Page Number"/>
        <w:tag w:val="TxtPageNumber"/>
        <w:id w:val="-1255971837"/>
      </w:sdtPr>
      <w:sdtEndPr>
        <w:rPr>
          <w:rStyle w:val="DefaultParagraphFont"/>
          <w:b w:val="0"/>
        </w:rPr>
      </w:sdtEndPr>
      <w:sdtContent>
        <w:r w:rsidR="00576F35" w:rsidRPr="00CC3749">
          <w:rPr>
            <w:rStyle w:val="PageNumber"/>
          </w:rPr>
          <w:fldChar w:fldCharType="begin"/>
        </w:r>
        <w:r w:rsidR="00576F35" w:rsidRPr="00CC3749">
          <w:rPr>
            <w:rStyle w:val="PageNumber"/>
          </w:rPr>
          <w:instrText xml:space="preserve"> PAGE   \* MERGEFORMAT </w:instrText>
        </w:r>
        <w:r w:rsidR="00576F35" w:rsidRPr="00CC3749">
          <w:rPr>
            <w:rStyle w:val="PageNumber"/>
          </w:rPr>
          <w:fldChar w:fldCharType="separate"/>
        </w:r>
        <w:r>
          <w:rPr>
            <w:rStyle w:val="PageNumber"/>
            <w:noProof/>
          </w:rPr>
          <w:t>1</w:t>
        </w:r>
        <w:r w:rsidR="00576F35"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D02F" w14:textId="6D7B7BE7" w:rsidR="00576F35" w:rsidRDefault="000A7ECF" w:rsidP="004E100F">
    <w:pPr>
      <w:pStyle w:val="Header"/>
    </w:pPr>
    <w:sdt>
      <w:sdtPr>
        <w:rPr>
          <w:rStyle w:val="PageNumber"/>
        </w:rPr>
        <w:alias w:val="Page Number"/>
        <w:tag w:val="TxtPageNumber"/>
        <w:id w:val="-1835755985"/>
        <w:lock w:val="sdtLocked"/>
      </w:sdtPr>
      <w:sdtEndPr>
        <w:rPr>
          <w:rStyle w:val="DefaultParagraphFont"/>
          <w:b w:val="0"/>
        </w:rPr>
      </w:sdtEndPr>
      <w:sdtContent>
        <w:r w:rsidR="00576F35" w:rsidRPr="00CC3749">
          <w:rPr>
            <w:rStyle w:val="PageNumber"/>
          </w:rPr>
          <w:fldChar w:fldCharType="begin"/>
        </w:r>
        <w:r w:rsidR="00576F35" w:rsidRPr="00CC3749">
          <w:rPr>
            <w:rStyle w:val="PageNumber"/>
          </w:rPr>
          <w:instrText xml:space="preserve"> PAGE   \* MERGEFORMAT </w:instrText>
        </w:r>
        <w:r w:rsidR="00576F35" w:rsidRPr="00CC3749">
          <w:rPr>
            <w:rStyle w:val="PageNumber"/>
          </w:rPr>
          <w:fldChar w:fldCharType="separate"/>
        </w:r>
        <w:r>
          <w:rPr>
            <w:rStyle w:val="PageNumber"/>
            <w:noProof/>
          </w:rPr>
          <w:t>26</w:t>
        </w:r>
        <w:r w:rsidR="00576F35" w:rsidRPr="00CC3749">
          <w:rPr>
            <w:rStyle w:val="PageNumber"/>
            <w:noProof/>
          </w:rPr>
          <w:fldChar w:fldCharType="end"/>
        </w:r>
      </w:sdtContent>
    </w:sdt>
    <w:r w:rsidR="00576F35">
      <w:t xml:space="preserve"> </w:t>
    </w:r>
    <w:r w:rsidR="00576F35">
      <w:sym w:font="Symbol" w:char="F07C"/>
    </w:r>
    <w:r w:rsidR="00576F35">
      <w:t xml:space="preserve"> </w:t>
    </w:r>
    <w:sdt>
      <w:sdtPr>
        <w:rPr>
          <w:rStyle w:val="HeaderTitle"/>
        </w:rPr>
        <w:alias w:val="Cote/Chapter"/>
        <w:tag w:val="txtHeaderValue"/>
        <w:id w:val="-308635562"/>
        <w:lock w:val="sdtLocked"/>
      </w:sdtPr>
      <w:sdtEndPr>
        <w:rPr>
          <w:rStyle w:val="DefaultParagraphFont"/>
          <w:caps w:val="0"/>
          <w:sz w:val="22"/>
        </w:rPr>
      </w:sdtEndPr>
      <w:sdtContent>
        <w:r w:rsidR="00576F35">
          <w:rPr>
            <w:rStyle w:val="HeaderTitle"/>
          </w:rPr>
          <w:t xml:space="preserve"> </w:t>
        </w:r>
      </w:sdtContent>
    </w:sdt>
  </w:p>
  <w:p w14:paraId="36B85FEF" w14:textId="77777777" w:rsidR="00576F35" w:rsidRPr="00CC3749" w:rsidRDefault="00576F35" w:rsidP="004E100F">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4937" w14:textId="71667213" w:rsidR="00576F35" w:rsidRDefault="000A7ECF"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576F35">
          <w:rPr>
            <w:rStyle w:val="HeaderTitle"/>
          </w:rPr>
          <w:t xml:space="preserve"> </w:t>
        </w:r>
      </w:sdtContent>
    </w:sdt>
    <w:r w:rsidR="00576F35">
      <w:rPr>
        <w:rStyle w:val="PageNumber"/>
      </w:rPr>
      <w:t xml:space="preserve"> </w:t>
    </w:r>
    <w:r w:rsidR="00576F35">
      <w:rPr>
        <w:rStyle w:val="PageNumber"/>
      </w:rPr>
      <w:sym w:font="Symbol" w:char="F07C"/>
    </w:r>
    <w:r w:rsidR="00576F35">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576F35" w:rsidRPr="00CC3749">
          <w:rPr>
            <w:rStyle w:val="PageNumber"/>
          </w:rPr>
          <w:fldChar w:fldCharType="begin"/>
        </w:r>
        <w:r w:rsidR="00576F35" w:rsidRPr="00CC3749">
          <w:rPr>
            <w:rStyle w:val="PageNumber"/>
          </w:rPr>
          <w:instrText xml:space="preserve"> PAGE   \* MERGEFORMAT </w:instrText>
        </w:r>
        <w:r w:rsidR="00576F35" w:rsidRPr="00CC3749">
          <w:rPr>
            <w:rStyle w:val="PageNumber"/>
          </w:rPr>
          <w:fldChar w:fldCharType="separate"/>
        </w:r>
        <w:r>
          <w:rPr>
            <w:rStyle w:val="PageNumber"/>
            <w:noProof/>
          </w:rPr>
          <w:t>27</w:t>
        </w:r>
        <w:r w:rsidR="00576F35" w:rsidRPr="00CC3749">
          <w:rPr>
            <w:rStyle w:val="PageNumber"/>
            <w:noProof/>
          </w:rPr>
          <w:fldChar w:fldCharType="end"/>
        </w:r>
      </w:sdtContent>
    </w:sdt>
  </w:p>
  <w:p w14:paraId="3C849B65" w14:textId="77777777" w:rsidR="00576F35" w:rsidRDefault="00576F35" w:rsidP="004E100F">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12" w15:restartNumberingAfterBreak="0">
    <w:nsid w:val="1753732C"/>
    <w:multiLevelType w:val="hybridMultilevel"/>
    <w:tmpl w:val="70701918"/>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24D42"/>
    <w:multiLevelType w:val="singleLevel"/>
    <w:tmpl w:val="A6EE71F0"/>
    <w:lvl w:ilvl="0">
      <w:start w:val="1"/>
      <w:numFmt w:val="decimal"/>
      <w:lvlText w:val="%1."/>
      <w:lvlJc w:val="left"/>
      <w:pPr>
        <w:tabs>
          <w:tab w:val="num" w:pos="680"/>
        </w:tabs>
        <w:ind w:left="680" w:firstLine="0"/>
      </w:pPr>
      <w:rPr>
        <w:rFonts w:hint="default"/>
        <w:b w:val="0"/>
        <w:i w:val="0"/>
        <w:color w:val="auto"/>
        <w:sz w:val="22"/>
      </w:rPr>
    </w:lvl>
  </w:abstractNum>
  <w:abstractNum w:abstractNumId="16"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8F419F"/>
    <w:multiLevelType w:val="hybridMultilevel"/>
    <w:tmpl w:val="62EECE9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9" w15:restartNumberingAfterBreak="0">
    <w:nsid w:val="25A1521B"/>
    <w:multiLevelType w:val="hybridMultilevel"/>
    <w:tmpl w:val="43D6D330"/>
    <w:lvl w:ilvl="0" w:tplc="2272C7EC">
      <w:start w:val="1"/>
      <w:numFmt w:val="decimal"/>
      <w:pStyle w:val="Para"/>
      <w:lvlText w:val="%1."/>
      <w:lvlJc w:val="left"/>
      <w:pPr>
        <w:tabs>
          <w:tab w:val="num" w:pos="1400"/>
        </w:tabs>
        <w:ind w:left="68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2E7E516C"/>
    <w:multiLevelType w:val="hybridMultilevel"/>
    <w:tmpl w:val="7F6001FA"/>
    <w:lvl w:ilvl="0" w:tplc="5A8642C8">
      <w:start w:val="1"/>
      <w:numFmt w:val="decimal"/>
      <w:pStyle w:val="NumberedList"/>
      <w:lvlText w:val="%1."/>
      <w:lvlJc w:val="left"/>
      <w:pPr>
        <w:ind w:left="1361" w:hanging="340"/>
      </w:pPr>
      <w:rPr>
        <w:rFonts w:hint="default"/>
      </w:rPr>
    </w:lvl>
    <w:lvl w:ilvl="1" w:tplc="BC78F91E">
      <w:start w:val="1"/>
      <w:numFmt w:val="lowerLetter"/>
      <w:lvlText w:val="%2."/>
      <w:lvlJc w:val="left"/>
      <w:pPr>
        <w:tabs>
          <w:tab w:val="num" w:pos="340"/>
        </w:tabs>
        <w:ind w:left="1701" w:hanging="340"/>
      </w:pPr>
      <w:rPr>
        <w:rFonts w:hint="default"/>
      </w:rPr>
    </w:lvl>
    <w:lvl w:ilvl="2" w:tplc="AE904AC6">
      <w:start w:val="1"/>
      <w:numFmt w:val="lowerRoman"/>
      <w:lvlText w:val="%3."/>
      <w:lvlJc w:val="right"/>
      <w:pPr>
        <w:ind w:left="2041" w:hanging="227"/>
      </w:pPr>
      <w:rPr>
        <w:rFonts w:hint="default"/>
      </w:rPr>
    </w:lvl>
    <w:lvl w:ilvl="3" w:tplc="6B96D124">
      <w:start w:val="1"/>
      <w:numFmt w:val="lowerLetter"/>
      <w:lvlText w:val="%4)"/>
      <w:lvlJc w:val="left"/>
      <w:pPr>
        <w:tabs>
          <w:tab w:val="num" w:pos="340"/>
        </w:tabs>
        <w:ind w:left="2381" w:hanging="340"/>
      </w:pPr>
      <w:rPr>
        <w:rFonts w:hint="default"/>
      </w:rPr>
    </w:lvl>
    <w:lvl w:ilvl="4" w:tplc="F7D072C6">
      <w:start w:val="1"/>
      <w:numFmt w:val="decimal"/>
      <w:lvlText w:val="%5)"/>
      <w:lvlJc w:val="left"/>
      <w:pPr>
        <w:tabs>
          <w:tab w:val="num" w:pos="340"/>
        </w:tabs>
        <w:ind w:left="2722" w:hanging="341"/>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2A667E"/>
    <w:multiLevelType w:val="hybridMultilevel"/>
    <w:tmpl w:val="8D30F6D8"/>
    <w:lvl w:ilvl="0" w:tplc="08090011">
      <w:start w:val="1"/>
      <w:numFmt w:val="decimal"/>
      <w:lvlText w:val="%1)"/>
      <w:lvlJc w:val="left"/>
      <w:pPr>
        <w:ind w:left="1361" w:hanging="340"/>
      </w:pPr>
      <w:rPr>
        <w:rFonts w:hint="default"/>
      </w:rPr>
    </w:lvl>
    <w:lvl w:ilvl="1" w:tplc="BC78F91E">
      <w:start w:val="1"/>
      <w:numFmt w:val="lowerLetter"/>
      <w:lvlText w:val="%2."/>
      <w:lvlJc w:val="left"/>
      <w:pPr>
        <w:tabs>
          <w:tab w:val="num" w:pos="340"/>
        </w:tabs>
        <w:ind w:left="1701" w:hanging="340"/>
      </w:pPr>
      <w:rPr>
        <w:rFonts w:hint="default"/>
      </w:rPr>
    </w:lvl>
    <w:lvl w:ilvl="2" w:tplc="AE904AC6">
      <w:start w:val="1"/>
      <w:numFmt w:val="lowerRoman"/>
      <w:lvlText w:val="%3."/>
      <w:lvlJc w:val="right"/>
      <w:pPr>
        <w:ind w:left="2041" w:hanging="227"/>
      </w:pPr>
      <w:rPr>
        <w:rFonts w:hint="default"/>
      </w:rPr>
    </w:lvl>
    <w:lvl w:ilvl="3" w:tplc="6B96D124">
      <w:start w:val="1"/>
      <w:numFmt w:val="lowerLetter"/>
      <w:lvlText w:val="%4)"/>
      <w:lvlJc w:val="left"/>
      <w:pPr>
        <w:tabs>
          <w:tab w:val="num" w:pos="340"/>
        </w:tabs>
        <w:ind w:left="2381" w:hanging="340"/>
      </w:pPr>
      <w:rPr>
        <w:rFonts w:hint="default"/>
      </w:rPr>
    </w:lvl>
    <w:lvl w:ilvl="4" w:tplc="F7D072C6">
      <w:start w:val="1"/>
      <w:numFmt w:val="decimal"/>
      <w:lvlText w:val="%5)"/>
      <w:lvlJc w:val="left"/>
      <w:pPr>
        <w:tabs>
          <w:tab w:val="num" w:pos="340"/>
        </w:tabs>
        <w:ind w:left="2722" w:hanging="341"/>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2A10573"/>
    <w:multiLevelType w:val="hybridMultilevel"/>
    <w:tmpl w:val="8D429B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32D00C1F"/>
    <w:multiLevelType w:val="hybridMultilevel"/>
    <w:tmpl w:val="A5A08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73566"/>
    <w:multiLevelType w:val="hybridMultilevel"/>
    <w:tmpl w:val="73A60A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5"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B12EB"/>
    <w:multiLevelType w:val="multilevel"/>
    <w:tmpl w:val="F0EA0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BA17DD"/>
    <w:multiLevelType w:val="multilevel"/>
    <w:tmpl w:val="CAACA53A"/>
    <w:lvl w:ilvl="0">
      <w:start w:val="1"/>
      <w:numFmt w:val="decimal"/>
      <w:lvlText w:val="%1."/>
      <w:lvlJc w:val="left"/>
      <w:pPr>
        <w:ind w:left="851" w:hanging="284"/>
      </w:pPr>
      <w:rPr>
        <w:rFonts w:hint="default"/>
      </w:rPr>
    </w:lvl>
    <w:lvl w:ilvl="1">
      <w:start w:val="1"/>
      <w:numFmt w:val="lowerLetter"/>
      <w:lvlText w:val="%2."/>
      <w:lvlJc w:val="left"/>
      <w:pPr>
        <w:ind w:left="1418" w:hanging="284"/>
      </w:pPr>
      <w:rPr>
        <w:rFonts w:hint="default"/>
      </w:rPr>
    </w:lvl>
    <w:lvl w:ilvl="2">
      <w:start w:val="1"/>
      <w:numFmt w:val="lowerRoman"/>
      <w:lvlText w:val="%3."/>
      <w:lvlJc w:val="right"/>
      <w:pPr>
        <w:ind w:left="1985" w:hanging="284"/>
      </w:pPr>
      <w:rPr>
        <w:rFonts w:hint="default"/>
      </w:rPr>
    </w:lvl>
    <w:lvl w:ilvl="3">
      <w:start w:val="1"/>
      <w:numFmt w:val="decimal"/>
      <w:lvlText w:val="%4."/>
      <w:lvlJc w:val="left"/>
      <w:pPr>
        <w:ind w:left="2552" w:hanging="284"/>
      </w:pPr>
      <w:rPr>
        <w:rFonts w:hint="default"/>
      </w:rPr>
    </w:lvl>
    <w:lvl w:ilvl="4">
      <w:start w:val="1"/>
      <w:numFmt w:val="lowerLetter"/>
      <w:lvlText w:val="%5."/>
      <w:lvlJc w:val="left"/>
      <w:pPr>
        <w:ind w:left="3119" w:hanging="284"/>
      </w:pPr>
      <w:rPr>
        <w:rFonts w:hint="default"/>
      </w:rPr>
    </w:lvl>
    <w:lvl w:ilvl="5">
      <w:start w:val="1"/>
      <w:numFmt w:val="lowerRoman"/>
      <w:lvlText w:val="%6."/>
      <w:lvlJc w:val="right"/>
      <w:pPr>
        <w:ind w:left="3686" w:hanging="284"/>
      </w:pPr>
      <w:rPr>
        <w:rFonts w:hint="default"/>
      </w:rPr>
    </w:lvl>
    <w:lvl w:ilvl="6">
      <w:start w:val="1"/>
      <w:numFmt w:val="decimal"/>
      <w:lvlText w:val="%7."/>
      <w:lvlJc w:val="left"/>
      <w:pPr>
        <w:ind w:left="4253" w:hanging="284"/>
      </w:pPr>
      <w:rPr>
        <w:rFonts w:hint="default"/>
      </w:rPr>
    </w:lvl>
    <w:lvl w:ilvl="7">
      <w:start w:val="1"/>
      <w:numFmt w:val="lowerLetter"/>
      <w:lvlText w:val="%8."/>
      <w:lvlJc w:val="left"/>
      <w:pPr>
        <w:ind w:left="4820" w:hanging="284"/>
      </w:pPr>
      <w:rPr>
        <w:rFonts w:hint="default"/>
      </w:rPr>
    </w:lvl>
    <w:lvl w:ilvl="8">
      <w:start w:val="1"/>
      <w:numFmt w:val="lowerRoman"/>
      <w:lvlText w:val="%9."/>
      <w:lvlJc w:val="right"/>
      <w:pPr>
        <w:ind w:left="5387" w:hanging="284"/>
      </w:pPr>
      <w:rPr>
        <w:rFonts w:hint="default"/>
      </w:rPr>
    </w:lvl>
  </w:abstractNum>
  <w:abstractNum w:abstractNumId="28" w15:restartNumberingAfterBreak="0">
    <w:nsid w:val="475F566E"/>
    <w:multiLevelType w:val="multilevel"/>
    <w:tmpl w:val="95186028"/>
    <w:lvl w:ilvl="0">
      <w:start w:val="1"/>
      <w:numFmt w:val="decimal"/>
      <w:pStyle w:val="Heading1"/>
      <w:suff w:val="space"/>
      <w:lvlText w:val="%1. "/>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680" w:firstLine="0"/>
      </w:pPr>
      <w:rPr>
        <w:rFonts w:hint="default"/>
        <w:lang w:val="en-GB"/>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29" w15:restartNumberingAfterBreak="0">
    <w:nsid w:val="49076158"/>
    <w:multiLevelType w:val="hybridMultilevel"/>
    <w:tmpl w:val="55B42ED8"/>
    <w:lvl w:ilvl="0" w:tplc="FE92EC86">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0" w15:restartNumberingAfterBreak="0">
    <w:nsid w:val="49516955"/>
    <w:multiLevelType w:val="multilevel"/>
    <w:tmpl w:val="CAACA53A"/>
    <w:lvl w:ilvl="0">
      <w:start w:val="1"/>
      <w:numFmt w:val="decimal"/>
      <w:lvlText w:val="%1."/>
      <w:lvlJc w:val="left"/>
      <w:pPr>
        <w:ind w:left="851" w:hanging="284"/>
      </w:pPr>
      <w:rPr>
        <w:rFonts w:hint="default"/>
      </w:rPr>
    </w:lvl>
    <w:lvl w:ilvl="1">
      <w:start w:val="1"/>
      <w:numFmt w:val="lowerLetter"/>
      <w:lvlText w:val="%2."/>
      <w:lvlJc w:val="left"/>
      <w:pPr>
        <w:ind w:left="1418" w:hanging="284"/>
      </w:pPr>
      <w:rPr>
        <w:rFonts w:hint="default"/>
      </w:rPr>
    </w:lvl>
    <w:lvl w:ilvl="2">
      <w:start w:val="1"/>
      <w:numFmt w:val="lowerRoman"/>
      <w:lvlText w:val="%3."/>
      <w:lvlJc w:val="right"/>
      <w:pPr>
        <w:ind w:left="1985" w:hanging="284"/>
      </w:pPr>
      <w:rPr>
        <w:rFonts w:hint="default"/>
      </w:rPr>
    </w:lvl>
    <w:lvl w:ilvl="3">
      <w:start w:val="1"/>
      <w:numFmt w:val="decimal"/>
      <w:lvlText w:val="%4."/>
      <w:lvlJc w:val="left"/>
      <w:pPr>
        <w:ind w:left="2552" w:hanging="284"/>
      </w:pPr>
      <w:rPr>
        <w:rFonts w:hint="default"/>
      </w:rPr>
    </w:lvl>
    <w:lvl w:ilvl="4">
      <w:start w:val="1"/>
      <w:numFmt w:val="lowerLetter"/>
      <w:lvlText w:val="%5."/>
      <w:lvlJc w:val="left"/>
      <w:pPr>
        <w:ind w:left="3119" w:hanging="284"/>
      </w:pPr>
      <w:rPr>
        <w:rFonts w:hint="default"/>
      </w:rPr>
    </w:lvl>
    <w:lvl w:ilvl="5">
      <w:start w:val="1"/>
      <w:numFmt w:val="lowerRoman"/>
      <w:lvlText w:val="%6."/>
      <w:lvlJc w:val="right"/>
      <w:pPr>
        <w:ind w:left="3686" w:hanging="284"/>
      </w:pPr>
      <w:rPr>
        <w:rFonts w:hint="default"/>
      </w:rPr>
    </w:lvl>
    <w:lvl w:ilvl="6">
      <w:start w:val="1"/>
      <w:numFmt w:val="decimal"/>
      <w:lvlText w:val="%7."/>
      <w:lvlJc w:val="left"/>
      <w:pPr>
        <w:ind w:left="4253" w:hanging="284"/>
      </w:pPr>
      <w:rPr>
        <w:rFonts w:hint="default"/>
      </w:rPr>
    </w:lvl>
    <w:lvl w:ilvl="7">
      <w:start w:val="1"/>
      <w:numFmt w:val="lowerLetter"/>
      <w:lvlText w:val="%8."/>
      <w:lvlJc w:val="left"/>
      <w:pPr>
        <w:ind w:left="4820" w:hanging="284"/>
      </w:pPr>
      <w:rPr>
        <w:rFonts w:hint="default"/>
      </w:rPr>
    </w:lvl>
    <w:lvl w:ilvl="8">
      <w:start w:val="1"/>
      <w:numFmt w:val="lowerRoman"/>
      <w:lvlText w:val="%9."/>
      <w:lvlJc w:val="right"/>
      <w:pPr>
        <w:ind w:left="5387" w:hanging="284"/>
      </w:pPr>
      <w:rPr>
        <w:rFonts w:hint="default"/>
      </w:rPr>
    </w:lvl>
  </w:abstractNum>
  <w:abstractNum w:abstractNumId="31" w15:restartNumberingAfterBreak="0">
    <w:nsid w:val="4C220B75"/>
    <w:multiLevelType w:val="multilevel"/>
    <w:tmpl w:val="28C468DC"/>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4"/>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32" w15:restartNumberingAfterBreak="0">
    <w:nsid w:val="5176726A"/>
    <w:multiLevelType w:val="hybridMultilevel"/>
    <w:tmpl w:val="BF94375C"/>
    <w:lvl w:ilvl="0" w:tplc="39446FC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52CF26B5"/>
    <w:multiLevelType w:val="multilevel"/>
    <w:tmpl w:val="5E2C4C14"/>
    <w:lvl w:ilvl="0">
      <w:start w:val="1"/>
      <w:numFmt w:val="decimal"/>
      <w:lvlText w:val="%1."/>
      <w:lvlJc w:val="left"/>
      <w:pPr>
        <w:ind w:left="851" w:hanging="284"/>
      </w:pPr>
      <w:rPr>
        <w:rFonts w:hint="default"/>
      </w:rPr>
    </w:lvl>
    <w:lvl w:ilvl="1">
      <w:start w:val="1"/>
      <w:numFmt w:val="lowerLetter"/>
      <w:lvlText w:val="%2."/>
      <w:lvlJc w:val="left"/>
      <w:pPr>
        <w:ind w:left="1418" w:hanging="284"/>
      </w:pPr>
      <w:rPr>
        <w:rFonts w:hint="default"/>
        <w:b w:val="0"/>
      </w:rPr>
    </w:lvl>
    <w:lvl w:ilvl="2">
      <w:start w:val="1"/>
      <w:numFmt w:val="lowerRoman"/>
      <w:lvlText w:val="%3."/>
      <w:lvlJc w:val="right"/>
      <w:pPr>
        <w:ind w:left="1985" w:hanging="284"/>
      </w:pPr>
      <w:rPr>
        <w:rFonts w:hint="default"/>
      </w:rPr>
    </w:lvl>
    <w:lvl w:ilvl="3">
      <w:start w:val="1"/>
      <w:numFmt w:val="decimal"/>
      <w:lvlText w:val="%4."/>
      <w:lvlJc w:val="left"/>
      <w:pPr>
        <w:ind w:left="2552" w:hanging="284"/>
      </w:pPr>
      <w:rPr>
        <w:rFonts w:hint="default"/>
      </w:rPr>
    </w:lvl>
    <w:lvl w:ilvl="4">
      <w:start w:val="1"/>
      <w:numFmt w:val="lowerLetter"/>
      <w:lvlText w:val="%5."/>
      <w:lvlJc w:val="left"/>
      <w:pPr>
        <w:ind w:left="3119" w:hanging="284"/>
      </w:pPr>
      <w:rPr>
        <w:rFonts w:hint="default"/>
      </w:rPr>
    </w:lvl>
    <w:lvl w:ilvl="5">
      <w:start w:val="1"/>
      <w:numFmt w:val="lowerRoman"/>
      <w:lvlText w:val="%6."/>
      <w:lvlJc w:val="right"/>
      <w:pPr>
        <w:ind w:left="3686" w:hanging="284"/>
      </w:pPr>
      <w:rPr>
        <w:rFonts w:hint="default"/>
      </w:rPr>
    </w:lvl>
    <w:lvl w:ilvl="6">
      <w:start w:val="1"/>
      <w:numFmt w:val="decimal"/>
      <w:lvlText w:val="%7."/>
      <w:lvlJc w:val="left"/>
      <w:pPr>
        <w:ind w:left="4253" w:hanging="284"/>
      </w:pPr>
      <w:rPr>
        <w:rFonts w:hint="default"/>
      </w:rPr>
    </w:lvl>
    <w:lvl w:ilvl="7">
      <w:start w:val="1"/>
      <w:numFmt w:val="lowerLetter"/>
      <w:lvlText w:val="%8."/>
      <w:lvlJc w:val="left"/>
      <w:pPr>
        <w:ind w:left="4820" w:hanging="284"/>
      </w:pPr>
      <w:rPr>
        <w:rFonts w:hint="default"/>
      </w:rPr>
    </w:lvl>
    <w:lvl w:ilvl="8">
      <w:start w:val="1"/>
      <w:numFmt w:val="lowerRoman"/>
      <w:lvlText w:val="%9."/>
      <w:lvlJc w:val="right"/>
      <w:pPr>
        <w:ind w:left="5387" w:hanging="284"/>
      </w:pPr>
      <w:rPr>
        <w:rFonts w:hint="default"/>
      </w:rPr>
    </w:lvl>
  </w:abstractNum>
  <w:abstractNum w:abstractNumId="34" w15:restartNumberingAfterBreak="0">
    <w:nsid w:val="5D891FE2"/>
    <w:multiLevelType w:val="hybridMultilevel"/>
    <w:tmpl w:val="C11CC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981DE3"/>
    <w:multiLevelType w:val="hybridMultilevel"/>
    <w:tmpl w:val="9346879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60C36062"/>
    <w:multiLevelType w:val="hybridMultilevel"/>
    <w:tmpl w:val="A34E756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7" w15:restartNumberingAfterBreak="0">
    <w:nsid w:val="60C93716"/>
    <w:multiLevelType w:val="hybridMultilevel"/>
    <w:tmpl w:val="EAEE62B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CB1DB2"/>
    <w:multiLevelType w:val="hybridMultilevel"/>
    <w:tmpl w:val="D5BAE79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0"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40"/>
  </w:num>
  <w:num w:numId="14">
    <w:abstractNumId w:val="40"/>
    <w:lvlOverride w:ilvl="0">
      <w:startOverride w:val="1"/>
    </w:lvlOverride>
  </w:num>
  <w:num w:numId="15">
    <w:abstractNumId w:val="38"/>
  </w:num>
  <w:num w:numId="16">
    <w:abstractNumId w:val="10"/>
  </w:num>
  <w:num w:numId="17">
    <w:abstractNumId w:val="16"/>
  </w:num>
  <w:num w:numId="18">
    <w:abstractNumId w:val="41"/>
  </w:num>
  <w:num w:numId="19">
    <w:abstractNumId w:val="14"/>
  </w:num>
  <w:num w:numId="20">
    <w:abstractNumId w:val="25"/>
  </w:num>
  <w:num w:numId="21">
    <w:abstractNumId w:val="13"/>
  </w:num>
  <w:num w:numId="22">
    <w:abstractNumId w:val="28"/>
  </w:num>
  <w:num w:numId="23">
    <w:abstractNumId w:val="18"/>
  </w:num>
  <w:num w:numId="24">
    <w:abstractNumId w:val="32"/>
  </w:num>
  <w:num w:numId="25">
    <w:abstractNumId w:val="11"/>
  </w:num>
  <w:num w:numId="26">
    <w:abstractNumId w:val="37"/>
  </w:num>
  <w:num w:numId="27">
    <w:abstractNumId w:val="29"/>
  </w:num>
  <w:num w:numId="28">
    <w:abstractNumId w:val="18"/>
    <w:lvlOverride w:ilvl="0">
      <w:startOverride w:val="1"/>
    </w:lvlOverride>
  </w:num>
  <w:num w:numId="29">
    <w:abstractNumId w:val="15"/>
  </w:num>
  <w:num w:numId="30">
    <w:abstractNumId w:val="31"/>
  </w:num>
  <w:num w:numId="31">
    <w:abstractNumId w:val="22"/>
  </w:num>
  <w:num w:numId="32">
    <w:abstractNumId w:val="33"/>
  </w:num>
  <w:num w:numId="33">
    <w:abstractNumId w:val="34"/>
  </w:num>
  <w:num w:numId="34">
    <w:abstractNumId w:val="12"/>
  </w:num>
  <w:num w:numId="35">
    <w:abstractNumId w:val="30"/>
  </w:num>
  <w:num w:numId="36">
    <w:abstractNumId w:val="27"/>
  </w:num>
  <w:num w:numId="37">
    <w:abstractNumId w:val="17"/>
  </w:num>
  <w:num w:numId="38">
    <w:abstractNumId w:val="39"/>
  </w:num>
  <w:num w:numId="39">
    <w:abstractNumId w:val="35"/>
  </w:num>
  <w:num w:numId="40">
    <w:abstractNumId w:val="23"/>
  </w:num>
  <w:num w:numId="41">
    <w:abstractNumId w:val="21"/>
  </w:num>
  <w:num w:numId="42">
    <w:abstractNumId w:val="36"/>
  </w:num>
  <w:num w:numId="43">
    <w:abstractNumId w:val="24"/>
  </w:num>
  <w:num w:numId="44">
    <w:abstractNumId w:val="26"/>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ttachedTemplate r:id="rId1"/>
  <w:stylePaneSortMethod w:val="0000"/>
  <w:defaultTabStop w:val="720"/>
  <w:hyphenationZone w:val="425"/>
  <w:evenAndOddHeaders/>
  <w:characterSpacingControl w:val="doNotCompress"/>
  <w:hdrShapeDefaults>
    <o:shapedefaults v:ext="edit" spidmax="132097"/>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ECDTemplateLocation" w:val="W:\Office2016\Workgroup Templates"/>
    <w:docVar w:name="OECDTemplateName" w:val="ONE Author.dotx"/>
    <w:docVar w:name="OECDTemplateVersion" w:val="2.01"/>
  </w:docVars>
  <w:rsids>
    <w:rsidRoot w:val="00C86C7F"/>
    <w:rsid w:val="00000ACC"/>
    <w:rsid w:val="00000C2C"/>
    <w:rsid w:val="00002CA0"/>
    <w:rsid w:val="000030FF"/>
    <w:rsid w:val="00004521"/>
    <w:rsid w:val="00007DE0"/>
    <w:rsid w:val="00012E9D"/>
    <w:rsid w:val="000130F2"/>
    <w:rsid w:val="000133A3"/>
    <w:rsid w:val="00013F14"/>
    <w:rsid w:val="000143BF"/>
    <w:rsid w:val="00015D58"/>
    <w:rsid w:val="00017ABD"/>
    <w:rsid w:val="00017BE0"/>
    <w:rsid w:val="0002030D"/>
    <w:rsid w:val="00020F33"/>
    <w:rsid w:val="00021980"/>
    <w:rsid w:val="00021E32"/>
    <w:rsid w:val="00022801"/>
    <w:rsid w:val="000230A7"/>
    <w:rsid w:val="0002394F"/>
    <w:rsid w:val="0002406D"/>
    <w:rsid w:val="000240F4"/>
    <w:rsid w:val="00024178"/>
    <w:rsid w:val="00024891"/>
    <w:rsid w:val="00025A1A"/>
    <w:rsid w:val="00027413"/>
    <w:rsid w:val="00027559"/>
    <w:rsid w:val="0002764A"/>
    <w:rsid w:val="00030E8C"/>
    <w:rsid w:val="000311B0"/>
    <w:rsid w:val="00031578"/>
    <w:rsid w:val="0003258B"/>
    <w:rsid w:val="00033143"/>
    <w:rsid w:val="00036EAF"/>
    <w:rsid w:val="000406D2"/>
    <w:rsid w:val="00043324"/>
    <w:rsid w:val="00043829"/>
    <w:rsid w:val="0004402D"/>
    <w:rsid w:val="00044EA8"/>
    <w:rsid w:val="000452A7"/>
    <w:rsid w:val="000454D3"/>
    <w:rsid w:val="000454E8"/>
    <w:rsid w:val="00045851"/>
    <w:rsid w:val="0005050B"/>
    <w:rsid w:val="0005102C"/>
    <w:rsid w:val="00051C0A"/>
    <w:rsid w:val="00051D24"/>
    <w:rsid w:val="00052575"/>
    <w:rsid w:val="00052588"/>
    <w:rsid w:val="000531FC"/>
    <w:rsid w:val="000542B8"/>
    <w:rsid w:val="000542D8"/>
    <w:rsid w:val="00055124"/>
    <w:rsid w:val="00057C83"/>
    <w:rsid w:val="00057E94"/>
    <w:rsid w:val="0006135F"/>
    <w:rsid w:val="00064C7A"/>
    <w:rsid w:val="00065B73"/>
    <w:rsid w:val="00067C17"/>
    <w:rsid w:val="0007075B"/>
    <w:rsid w:val="0007109E"/>
    <w:rsid w:val="000745CD"/>
    <w:rsid w:val="00075C49"/>
    <w:rsid w:val="0007759B"/>
    <w:rsid w:val="000807D8"/>
    <w:rsid w:val="000824B8"/>
    <w:rsid w:val="000836DC"/>
    <w:rsid w:val="00085197"/>
    <w:rsid w:val="00086427"/>
    <w:rsid w:val="0009143F"/>
    <w:rsid w:val="0009270B"/>
    <w:rsid w:val="000939E1"/>
    <w:rsid w:val="00093A3B"/>
    <w:rsid w:val="00093E3F"/>
    <w:rsid w:val="00094354"/>
    <w:rsid w:val="00094DE7"/>
    <w:rsid w:val="00096745"/>
    <w:rsid w:val="000A1900"/>
    <w:rsid w:val="000A50C4"/>
    <w:rsid w:val="000A57DD"/>
    <w:rsid w:val="000A5AC8"/>
    <w:rsid w:val="000A7147"/>
    <w:rsid w:val="000A7201"/>
    <w:rsid w:val="000A7ECF"/>
    <w:rsid w:val="000A7FDD"/>
    <w:rsid w:val="000B386C"/>
    <w:rsid w:val="000B4D8C"/>
    <w:rsid w:val="000B6B39"/>
    <w:rsid w:val="000B6E96"/>
    <w:rsid w:val="000B74AE"/>
    <w:rsid w:val="000B78A3"/>
    <w:rsid w:val="000C0013"/>
    <w:rsid w:val="000C0F46"/>
    <w:rsid w:val="000C1DF4"/>
    <w:rsid w:val="000C26A6"/>
    <w:rsid w:val="000C2EF1"/>
    <w:rsid w:val="000C4364"/>
    <w:rsid w:val="000C48C9"/>
    <w:rsid w:val="000C4BEF"/>
    <w:rsid w:val="000C4C20"/>
    <w:rsid w:val="000C5C88"/>
    <w:rsid w:val="000D1554"/>
    <w:rsid w:val="000D2FC8"/>
    <w:rsid w:val="000D4550"/>
    <w:rsid w:val="000D45D3"/>
    <w:rsid w:val="000D58F1"/>
    <w:rsid w:val="000D59A7"/>
    <w:rsid w:val="000D6146"/>
    <w:rsid w:val="000D62EF"/>
    <w:rsid w:val="000D79D2"/>
    <w:rsid w:val="000D7FC1"/>
    <w:rsid w:val="000E1E8F"/>
    <w:rsid w:val="000E3079"/>
    <w:rsid w:val="000E3DBB"/>
    <w:rsid w:val="000E4B6D"/>
    <w:rsid w:val="000E4BBD"/>
    <w:rsid w:val="000E52E7"/>
    <w:rsid w:val="000E5865"/>
    <w:rsid w:val="000E66CD"/>
    <w:rsid w:val="000E705A"/>
    <w:rsid w:val="000E70A1"/>
    <w:rsid w:val="000E72AA"/>
    <w:rsid w:val="000E7504"/>
    <w:rsid w:val="000F0555"/>
    <w:rsid w:val="000F081C"/>
    <w:rsid w:val="000F098C"/>
    <w:rsid w:val="000F0AA3"/>
    <w:rsid w:val="000F21E3"/>
    <w:rsid w:val="000F23C1"/>
    <w:rsid w:val="000F3A3B"/>
    <w:rsid w:val="000F55A1"/>
    <w:rsid w:val="000F68AF"/>
    <w:rsid w:val="000F788C"/>
    <w:rsid w:val="00100976"/>
    <w:rsid w:val="00100B9C"/>
    <w:rsid w:val="00100F71"/>
    <w:rsid w:val="00101323"/>
    <w:rsid w:val="00102954"/>
    <w:rsid w:val="001033AB"/>
    <w:rsid w:val="00106390"/>
    <w:rsid w:val="00106632"/>
    <w:rsid w:val="00107565"/>
    <w:rsid w:val="00111592"/>
    <w:rsid w:val="00111A19"/>
    <w:rsid w:val="001124FE"/>
    <w:rsid w:val="001133F8"/>
    <w:rsid w:val="001137FF"/>
    <w:rsid w:val="00113FBF"/>
    <w:rsid w:val="001143D3"/>
    <w:rsid w:val="0011449E"/>
    <w:rsid w:val="00114D8D"/>
    <w:rsid w:val="00115911"/>
    <w:rsid w:val="00116FFE"/>
    <w:rsid w:val="00122281"/>
    <w:rsid w:val="001225CF"/>
    <w:rsid w:val="001227F3"/>
    <w:rsid w:val="00123C76"/>
    <w:rsid w:val="00124423"/>
    <w:rsid w:val="00126214"/>
    <w:rsid w:val="001262C3"/>
    <w:rsid w:val="00126C89"/>
    <w:rsid w:val="00127EE2"/>
    <w:rsid w:val="00127F4F"/>
    <w:rsid w:val="00132E23"/>
    <w:rsid w:val="00132E78"/>
    <w:rsid w:val="00132EAD"/>
    <w:rsid w:val="001349AB"/>
    <w:rsid w:val="00135DF1"/>
    <w:rsid w:val="00135EC5"/>
    <w:rsid w:val="00136F2C"/>
    <w:rsid w:val="0014038E"/>
    <w:rsid w:val="00142433"/>
    <w:rsid w:val="001424F1"/>
    <w:rsid w:val="00143A5B"/>
    <w:rsid w:val="00143FC9"/>
    <w:rsid w:val="00144954"/>
    <w:rsid w:val="00145D82"/>
    <w:rsid w:val="001475EC"/>
    <w:rsid w:val="00147EFE"/>
    <w:rsid w:val="0015065F"/>
    <w:rsid w:val="00150B5D"/>
    <w:rsid w:val="00150B6F"/>
    <w:rsid w:val="001556FC"/>
    <w:rsid w:val="001564DC"/>
    <w:rsid w:val="00156CD9"/>
    <w:rsid w:val="00157454"/>
    <w:rsid w:val="00157F38"/>
    <w:rsid w:val="001600DD"/>
    <w:rsid w:val="00161CE5"/>
    <w:rsid w:val="00162CE4"/>
    <w:rsid w:val="0016590A"/>
    <w:rsid w:val="00166BEB"/>
    <w:rsid w:val="00167465"/>
    <w:rsid w:val="0016757A"/>
    <w:rsid w:val="00167A20"/>
    <w:rsid w:val="0017130D"/>
    <w:rsid w:val="001715D9"/>
    <w:rsid w:val="00171F09"/>
    <w:rsid w:val="001728DA"/>
    <w:rsid w:val="00172B9C"/>
    <w:rsid w:val="001733D4"/>
    <w:rsid w:val="00174C37"/>
    <w:rsid w:val="00175188"/>
    <w:rsid w:val="0017584B"/>
    <w:rsid w:val="00176367"/>
    <w:rsid w:val="001807CA"/>
    <w:rsid w:val="0018264F"/>
    <w:rsid w:val="001832A3"/>
    <w:rsid w:val="00183469"/>
    <w:rsid w:val="00184617"/>
    <w:rsid w:val="00184862"/>
    <w:rsid w:val="00184B60"/>
    <w:rsid w:val="0018519F"/>
    <w:rsid w:val="00185977"/>
    <w:rsid w:val="00187F66"/>
    <w:rsid w:val="00190638"/>
    <w:rsid w:val="00191E45"/>
    <w:rsid w:val="0019274F"/>
    <w:rsid w:val="00192BE9"/>
    <w:rsid w:val="001A03D9"/>
    <w:rsid w:val="001A0DEE"/>
    <w:rsid w:val="001A1997"/>
    <w:rsid w:val="001A2D23"/>
    <w:rsid w:val="001A3D02"/>
    <w:rsid w:val="001A3F90"/>
    <w:rsid w:val="001A430A"/>
    <w:rsid w:val="001A4838"/>
    <w:rsid w:val="001A7640"/>
    <w:rsid w:val="001A7D0E"/>
    <w:rsid w:val="001B2FAD"/>
    <w:rsid w:val="001B31D9"/>
    <w:rsid w:val="001B335F"/>
    <w:rsid w:val="001B3A3A"/>
    <w:rsid w:val="001B411A"/>
    <w:rsid w:val="001B4E01"/>
    <w:rsid w:val="001B5143"/>
    <w:rsid w:val="001B6D35"/>
    <w:rsid w:val="001B7B50"/>
    <w:rsid w:val="001C0673"/>
    <w:rsid w:val="001C1480"/>
    <w:rsid w:val="001C19B0"/>
    <w:rsid w:val="001C1B06"/>
    <w:rsid w:val="001C254E"/>
    <w:rsid w:val="001C7F8E"/>
    <w:rsid w:val="001D183C"/>
    <w:rsid w:val="001D474A"/>
    <w:rsid w:val="001D4FA9"/>
    <w:rsid w:val="001D65D2"/>
    <w:rsid w:val="001D6B6B"/>
    <w:rsid w:val="001D6C5B"/>
    <w:rsid w:val="001D714D"/>
    <w:rsid w:val="001D75D1"/>
    <w:rsid w:val="001E05A5"/>
    <w:rsid w:val="001E14C6"/>
    <w:rsid w:val="001E1933"/>
    <w:rsid w:val="001E64B9"/>
    <w:rsid w:val="001E731A"/>
    <w:rsid w:val="001F04BF"/>
    <w:rsid w:val="001F2378"/>
    <w:rsid w:val="001F2B4F"/>
    <w:rsid w:val="001F34E8"/>
    <w:rsid w:val="001F3BB2"/>
    <w:rsid w:val="001F444E"/>
    <w:rsid w:val="001F47B8"/>
    <w:rsid w:val="001F4DBF"/>
    <w:rsid w:val="001F60BC"/>
    <w:rsid w:val="001F6557"/>
    <w:rsid w:val="001F685A"/>
    <w:rsid w:val="001F7519"/>
    <w:rsid w:val="002012F2"/>
    <w:rsid w:val="00202409"/>
    <w:rsid w:val="00203113"/>
    <w:rsid w:val="00204336"/>
    <w:rsid w:val="00205E6F"/>
    <w:rsid w:val="0021150B"/>
    <w:rsid w:val="002115BC"/>
    <w:rsid w:val="0021265D"/>
    <w:rsid w:val="002128EA"/>
    <w:rsid w:val="002143BA"/>
    <w:rsid w:val="00214510"/>
    <w:rsid w:val="00214ACE"/>
    <w:rsid w:val="00215F8C"/>
    <w:rsid w:val="00220FF0"/>
    <w:rsid w:val="0022291C"/>
    <w:rsid w:val="00223E0D"/>
    <w:rsid w:val="0022460E"/>
    <w:rsid w:val="00224AC3"/>
    <w:rsid w:val="00227945"/>
    <w:rsid w:val="002306AC"/>
    <w:rsid w:val="00230EC1"/>
    <w:rsid w:val="0023192C"/>
    <w:rsid w:val="00232B82"/>
    <w:rsid w:val="002342FC"/>
    <w:rsid w:val="00234D85"/>
    <w:rsid w:val="002358D0"/>
    <w:rsid w:val="00236FFB"/>
    <w:rsid w:val="00240130"/>
    <w:rsid w:val="00241E7C"/>
    <w:rsid w:val="0024272B"/>
    <w:rsid w:val="00243402"/>
    <w:rsid w:val="002440BC"/>
    <w:rsid w:val="00244AA0"/>
    <w:rsid w:val="00250DBD"/>
    <w:rsid w:val="0025209C"/>
    <w:rsid w:val="00253A03"/>
    <w:rsid w:val="0025481A"/>
    <w:rsid w:val="00255EBB"/>
    <w:rsid w:val="00256101"/>
    <w:rsid w:val="002565E1"/>
    <w:rsid w:val="00260FD3"/>
    <w:rsid w:val="002615FE"/>
    <w:rsid w:val="00263627"/>
    <w:rsid w:val="00263CAB"/>
    <w:rsid w:val="002654D7"/>
    <w:rsid w:val="00265D8C"/>
    <w:rsid w:val="00267072"/>
    <w:rsid w:val="00270361"/>
    <w:rsid w:val="002727E3"/>
    <w:rsid w:val="00273114"/>
    <w:rsid w:val="00273B9E"/>
    <w:rsid w:val="00274C1D"/>
    <w:rsid w:val="00275C05"/>
    <w:rsid w:val="00276EE5"/>
    <w:rsid w:val="00284053"/>
    <w:rsid w:val="00285101"/>
    <w:rsid w:val="0028512A"/>
    <w:rsid w:val="00286146"/>
    <w:rsid w:val="00290053"/>
    <w:rsid w:val="00291A7D"/>
    <w:rsid w:val="002923E9"/>
    <w:rsid w:val="00293722"/>
    <w:rsid w:val="00293FA5"/>
    <w:rsid w:val="002947BB"/>
    <w:rsid w:val="00294B55"/>
    <w:rsid w:val="00296680"/>
    <w:rsid w:val="00296CE1"/>
    <w:rsid w:val="002971F0"/>
    <w:rsid w:val="00297C43"/>
    <w:rsid w:val="002A0CCD"/>
    <w:rsid w:val="002A226D"/>
    <w:rsid w:val="002A3A9B"/>
    <w:rsid w:val="002A5BB2"/>
    <w:rsid w:val="002A6B2F"/>
    <w:rsid w:val="002B06D8"/>
    <w:rsid w:val="002B174F"/>
    <w:rsid w:val="002B1E5C"/>
    <w:rsid w:val="002B24F1"/>
    <w:rsid w:val="002B353F"/>
    <w:rsid w:val="002B3B81"/>
    <w:rsid w:val="002B572B"/>
    <w:rsid w:val="002B6DFA"/>
    <w:rsid w:val="002C0B8E"/>
    <w:rsid w:val="002C1DD6"/>
    <w:rsid w:val="002C23E3"/>
    <w:rsid w:val="002C4CE3"/>
    <w:rsid w:val="002C4DF9"/>
    <w:rsid w:val="002C59EB"/>
    <w:rsid w:val="002C63C2"/>
    <w:rsid w:val="002D0725"/>
    <w:rsid w:val="002D1FEC"/>
    <w:rsid w:val="002D23FF"/>
    <w:rsid w:val="002D332F"/>
    <w:rsid w:val="002D3AC8"/>
    <w:rsid w:val="002D459B"/>
    <w:rsid w:val="002D4A83"/>
    <w:rsid w:val="002D5C9E"/>
    <w:rsid w:val="002D6C46"/>
    <w:rsid w:val="002D78C1"/>
    <w:rsid w:val="002D7F1C"/>
    <w:rsid w:val="002E28C3"/>
    <w:rsid w:val="002E2CE5"/>
    <w:rsid w:val="002E3972"/>
    <w:rsid w:val="002E3DAF"/>
    <w:rsid w:val="002E4E1D"/>
    <w:rsid w:val="002E5FB1"/>
    <w:rsid w:val="002E714B"/>
    <w:rsid w:val="002E728A"/>
    <w:rsid w:val="002F02CA"/>
    <w:rsid w:val="002F04C9"/>
    <w:rsid w:val="002F05DA"/>
    <w:rsid w:val="002F1499"/>
    <w:rsid w:val="002F252F"/>
    <w:rsid w:val="002F3A06"/>
    <w:rsid w:val="002F429D"/>
    <w:rsid w:val="002F44A6"/>
    <w:rsid w:val="002F476E"/>
    <w:rsid w:val="002F489B"/>
    <w:rsid w:val="002F503A"/>
    <w:rsid w:val="002F596D"/>
    <w:rsid w:val="002F605B"/>
    <w:rsid w:val="002F6CA8"/>
    <w:rsid w:val="002F7039"/>
    <w:rsid w:val="002F7423"/>
    <w:rsid w:val="002F7879"/>
    <w:rsid w:val="00301170"/>
    <w:rsid w:val="003017A3"/>
    <w:rsid w:val="003028F9"/>
    <w:rsid w:val="00303ECA"/>
    <w:rsid w:val="00305C43"/>
    <w:rsid w:val="00305E04"/>
    <w:rsid w:val="00306C02"/>
    <w:rsid w:val="003078C5"/>
    <w:rsid w:val="00310102"/>
    <w:rsid w:val="00310601"/>
    <w:rsid w:val="00311A51"/>
    <w:rsid w:val="00315F62"/>
    <w:rsid w:val="0031678E"/>
    <w:rsid w:val="00317CDB"/>
    <w:rsid w:val="00320849"/>
    <w:rsid w:val="003219D4"/>
    <w:rsid w:val="00323108"/>
    <w:rsid w:val="00325A3C"/>
    <w:rsid w:val="00326CAE"/>
    <w:rsid w:val="0032749E"/>
    <w:rsid w:val="00331DF9"/>
    <w:rsid w:val="0033276D"/>
    <w:rsid w:val="00333261"/>
    <w:rsid w:val="00336613"/>
    <w:rsid w:val="00337060"/>
    <w:rsid w:val="00337337"/>
    <w:rsid w:val="00345333"/>
    <w:rsid w:val="00346B98"/>
    <w:rsid w:val="00347AA2"/>
    <w:rsid w:val="00351054"/>
    <w:rsid w:val="00351A2E"/>
    <w:rsid w:val="00351B76"/>
    <w:rsid w:val="0035293B"/>
    <w:rsid w:val="00353A57"/>
    <w:rsid w:val="00353D42"/>
    <w:rsid w:val="0035430E"/>
    <w:rsid w:val="00355526"/>
    <w:rsid w:val="003568DB"/>
    <w:rsid w:val="00356D1A"/>
    <w:rsid w:val="0035778E"/>
    <w:rsid w:val="00357F0B"/>
    <w:rsid w:val="00361E3F"/>
    <w:rsid w:val="00362400"/>
    <w:rsid w:val="00363E22"/>
    <w:rsid w:val="00364232"/>
    <w:rsid w:val="00365729"/>
    <w:rsid w:val="00370CD8"/>
    <w:rsid w:val="003716BB"/>
    <w:rsid w:val="003730C9"/>
    <w:rsid w:val="0037321A"/>
    <w:rsid w:val="00376128"/>
    <w:rsid w:val="00376297"/>
    <w:rsid w:val="003801F4"/>
    <w:rsid w:val="00381AB2"/>
    <w:rsid w:val="00381FAF"/>
    <w:rsid w:val="0038485C"/>
    <w:rsid w:val="0038518F"/>
    <w:rsid w:val="00385535"/>
    <w:rsid w:val="00386F03"/>
    <w:rsid w:val="00387536"/>
    <w:rsid w:val="00390349"/>
    <w:rsid w:val="00391335"/>
    <w:rsid w:val="00391994"/>
    <w:rsid w:val="0039358C"/>
    <w:rsid w:val="003936C5"/>
    <w:rsid w:val="003957E7"/>
    <w:rsid w:val="00395D39"/>
    <w:rsid w:val="0039746E"/>
    <w:rsid w:val="00397A5E"/>
    <w:rsid w:val="003A19A6"/>
    <w:rsid w:val="003A26EE"/>
    <w:rsid w:val="003A3A69"/>
    <w:rsid w:val="003A3D98"/>
    <w:rsid w:val="003A6597"/>
    <w:rsid w:val="003A6623"/>
    <w:rsid w:val="003A72FB"/>
    <w:rsid w:val="003B07E6"/>
    <w:rsid w:val="003B0FCE"/>
    <w:rsid w:val="003B1231"/>
    <w:rsid w:val="003B1382"/>
    <w:rsid w:val="003B1796"/>
    <w:rsid w:val="003B282E"/>
    <w:rsid w:val="003B289D"/>
    <w:rsid w:val="003B2EF0"/>
    <w:rsid w:val="003B3581"/>
    <w:rsid w:val="003B4026"/>
    <w:rsid w:val="003B42F8"/>
    <w:rsid w:val="003B6699"/>
    <w:rsid w:val="003B7EFA"/>
    <w:rsid w:val="003C004B"/>
    <w:rsid w:val="003C2B36"/>
    <w:rsid w:val="003C2F06"/>
    <w:rsid w:val="003C3099"/>
    <w:rsid w:val="003C30AE"/>
    <w:rsid w:val="003D0BB6"/>
    <w:rsid w:val="003D283F"/>
    <w:rsid w:val="003D3BC8"/>
    <w:rsid w:val="003D49C8"/>
    <w:rsid w:val="003D6653"/>
    <w:rsid w:val="003D69E9"/>
    <w:rsid w:val="003D7FB2"/>
    <w:rsid w:val="003E0362"/>
    <w:rsid w:val="003E049C"/>
    <w:rsid w:val="003E371A"/>
    <w:rsid w:val="003E5D2D"/>
    <w:rsid w:val="003E624C"/>
    <w:rsid w:val="003E67EE"/>
    <w:rsid w:val="003E7235"/>
    <w:rsid w:val="003E7309"/>
    <w:rsid w:val="003F0B32"/>
    <w:rsid w:val="003F0E82"/>
    <w:rsid w:val="003F2D7D"/>
    <w:rsid w:val="003F5065"/>
    <w:rsid w:val="003F5160"/>
    <w:rsid w:val="003F59B4"/>
    <w:rsid w:val="003F6C42"/>
    <w:rsid w:val="003F7301"/>
    <w:rsid w:val="003F7D67"/>
    <w:rsid w:val="00400685"/>
    <w:rsid w:val="00401678"/>
    <w:rsid w:val="00403F2B"/>
    <w:rsid w:val="00404402"/>
    <w:rsid w:val="00406F88"/>
    <w:rsid w:val="00407712"/>
    <w:rsid w:val="00407A39"/>
    <w:rsid w:val="00407EAA"/>
    <w:rsid w:val="00410BB4"/>
    <w:rsid w:val="00410C88"/>
    <w:rsid w:val="004118F7"/>
    <w:rsid w:val="004120DC"/>
    <w:rsid w:val="004147C4"/>
    <w:rsid w:val="00414B76"/>
    <w:rsid w:val="004157A6"/>
    <w:rsid w:val="00416763"/>
    <w:rsid w:val="00421460"/>
    <w:rsid w:val="0042199A"/>
    <w:rsid w:val="00421E90"/>
    <w:rsid w:val="004230BA"/>
    <w:rsid w:val="004234CE"/>
    <w:rsid w:val="004243B4"/>
    <w:rsid w:val="0042628D"/>
    <w:rsid w:val="00426E87"/>
    <w:rsid w:val="00427F9D"/>
    <w:rsid w:val="004303AA"/>
    <w:rsid w:val="00431828"/>
    <w:rsid w:val="004329C6"/>
    <w:rsid w:val="00432CF9"/>
    <w:rsid w:val="004348F1"/>
    <w:rsid w:val="00434E50"/>
    <w:rsid w:val="00437D2C"/>
    <w:rsid w:val="00440FA5"/>
    <w:rsid w:val="00441DDA"/>
    <w:rsid w:val="00442774"/>
    <w:rsid w:val="004438E0"/>
    <w:rsid w:val="00443968"/>
    <w:rsid w:val="00444836"/>
    <w:rsid w:val="00444C08"/>
    <w:rsid w:val="004454D7"/>
    <w:rsid w:val="004479E0"/>
    <w:rsid w:val="00447D74"/>
    <w:rsid w:val="00450908"/>
    <w:rsid w:val="004509C7"/>
    <w:rsid w:val="00451502"/>
    <w:rsid w:val="004529B7"/>
    <w:rsid w:val="00452DA0"/>
    <w:rsid w:val="004538EF"/>
    <w:rsid w:val="00453AA7"/>
    <w:rsid w:val="00454E1F"/>
    <w:rsid w:val="00456C63"/>
    <w:rsid w:val="00456E03"/>
    <w:rsid w:val="00460AB6"/>
    <w:rsid w:val="00460D48"/>
    <w:rsid w:val="00461A55"/>
    <w:rsid w:val="0046201C"/>
    <w:rsid w:val="004622CF"/>
    <w:rsid w:val="00463AAF"/>
    <w:rsid w:val="00465412"/>
    <w:rsid w:val="00467231"/>
    <w:rsid w:val="004705CD"/>
    <w:rsid w:val="00471B62"/>
    <w:rsid w:val="0047350A"/>
    <w:rsid w:val="00473932"/>
    <w:rsid w:val="004810B3"/>
    <w:rsid w:val="00484150"/>
    <w:rsid w:val="00484847"/>
    <w:rsid w:val="0048744D"/>
    <w:rsid w:val="004874E8"/>
    <w:rsid w:val="00487787"/>
    <w:rsid w:val="00487D6A"/>
    <w:rsid w:val="00492084"/>
    <w:rsid w:val="00492A1C"/>
    <w:rsid w:val="00492F10"/>
    <w:rsid w:val="004944C6"/>
    <w:rsid w:val="004951F4"/>
    <w:rsid w:val="00496306"/>
    <w:rsid w:val="00496902"/>
    <w:rsid w:val="0049737E"/>
    <w:rsid w:val="00497BF7"/>
    <w:rsid w:val="004A00A8"/>
    <w:rsid w:val="004A0B94"/>
    <w:rsid w:val="004A1C8E"/>
    <w:rsid w:val="004A2EEC"/>
    <w:rsid w:val="004A35FB"/>
    <w:rsid w:val="004A4538"/>
    <w:rsid w:val="004A4E34"/>
    <w:rsid w:val="004A51CF"/>
    <w:rsid w:val="004A5765"/>
    <w:rsid w:val="004A6383"/>
    <w:rsid w:val="004B07AA"/>
    <w:rsid w:val="004B1200"/>
    <w:rsid w:val="004B1403"/>
    <w:rsid w:val="004B1767"/>
    <w:rsid w:val="004B2D73"/>
    <w:rsid w:val="004B308A"/>
    <w:rsid w:val="004B5D26"/>
    <w:rsid w:val="004B600E"/>
    <w:rsid w:val="004B6784"/>
    <w:rsid w:val="004B77D0"/>
    <w:rsid w:val="004B7B10"/>
    <w:rsid w:val="004C0E23"/>
    <w:rsid w:val="004C105E"/>
    <w:rsid w:val="004C2590"/>
    <w:rsid w:val="004C3043"/>
    <w:rsid w:val="004C351C"/>
    <w:rsid w:val="004C3AF5"/>
    <w:rsid w:val="004C3E6B"/>
    <w:rsid w:val="004C5CDD"/>
    <w:rsid w:val="004C6075"/>
    <w:rsid w:val="004C63EE"/>
    <w:rsid w:val="004D1331"/>
    <w:rsid w:val="004D55C5"/>
    <w:rsid w:val="004D6211"/>
    <w:rsid w:val="004D621F"/>
    <w:rsid w:val="004D6A54"/>
    <w:rsid w:val="004D7578"/>
    <w:rsid w:val="004D765D"/>
    <w:rsid w:val="004E100F"/>
    <w:rsid w:val="004E1F05"/>
    <w:rsid w:val="004E2D5E"/>
    <w:rsid w:val="004E4993"/>
    <w:rsid w:val="004E7D82"/>
    <w:rsid w:val="004F18B0"/>
    <w:rsid w:val="004F2410"/>
    <w:rsid w:val="004F247D"/>
    <w:rsid w:val="004F25F2"/>
    <w:rsid w:val="004F2804"/>
    <w:rsid w:val="004F3785"/>
    <w:rsid w:val="004F541E"/>
    <w:rsid w:val="004F5797"/>
    <w:rsid w:val="004F6CB7"/>
    <w:rsid w:val="005011D9"/>
    <w:rsid w:val="00501E66"/>
    <w:rsid w:val="00502359"/>
    <w:rsid w:val="00503BA5"/>
    <w:rsid w:val="00503C6C"/>
    <w:rsid w:val="00504DC7"/>
    <w:rsid w:val="005059C6"/>
    <w:rsid w:val="00510362"/>
    <w:rsid w:val="00511263"/>
    <w:rsid w:val="00511EE9"/>
    <w:rsid w:val="00513CC2"/>
    <w:rsid w:val="005140D7"/>
    <w:rsid w:val="00515588"/>
    <w:rsid w:val="00515D86"/>
    <w:rsid w:val="00516710"/>
    <w:rsid w:val="005173DA"/>
    <w:rsid w:val="00521C69"/>
    <w:rsid w:val="00521F3A"/>
    <w:rsid w:val="005228A4"/>
    <w:rsid w:val="00523037"/>
    <w:rsid w:val="005234CB"/>
    <w:rsid w:val="00523806"/>
    <w:rsid w:val="00524708"/>
    <w:rsid w:val="00524825"/>
    <w:rsid w:val="005258B0"/>
    <w:rsid w:val="005267B5"/>
    <w:rsid w:val="00526EFE"/>
    <w:rsid w:val="0052749E"/>
    <w:rsid w:val="0052758D"/>
    <w:rsid w:val="005301C6"/>
    <w:rsid w:val="00530AAD"/>
    <w:rsid w:val="00532020"/>
    <w:rsid w:val="00532D04"/>
    <w:rsid w:val="00533FC1"/>
    <w:rsid w:val="005345B1"/>
    <w:rsid w:val="00536A6B"/>
    <w:rsid w:val="0054024A"/>
    <w:rsid w:val="0054224E"/>
    <w:rsid w:val="00543135"/>
    <w:rsid w:val="005433B0"/>
    <w:rsid w:val="00546F7B"/>
    <w:rsid w:val="0054732B"/>
    <w:rsid w:val="00547407"/>
    <w:rsid w:val="00547417"/>
    <w:rsid w:val="005506CB"/>
    <w:rsid w:val="00550A7C"/>
    <w:rsid w:val="005527A6"/>
    <w:rsid w:val="0055296D"/>
    <w:rsid w:val="00552AA1"/>
    <w:rsid w:val="00553E3C"/>
    <w:rsid w:val="00555197"/>
    <w:rsid w:val="005603ED"/>
    <w:rsid w:val="0056147C"/>
    <w:rsid w:val="00562AF1"/>
    <w:rsid w:val="005652CB"/>
    <w:rsid w:val="0056606B"/>
    <w:rsid w:val="005664A2"/>
    <w:rsid w:val="00566FD0"/>
    <w:rsid w:val="00567146"/>
    <w:rsid w:val="00567952"/>
    <w:rsid w:val="00567A97"/>
    <w:rsid w:val="005708A6"/>
    <w:rsid w:val="00570C38"/>
    <w:rsid w:val="0057151B"/>
    <w:rsid w:val="0057192B"/>
    <w:rsid w:val="00572043"/>
    <w:rsid w:val="005725CE"/>
    <w:rsid w:val="00575258"/>
    <w:rsid w:val="00575855"/>
    <w:rsid w:val="00576F35"/>
    <w:rsid w:val="00580EA8"/>
    <w:rsid w:val="005819B5"/>
    <w:rsid w:val="00582B2F"/>
    <w:rsid w:val="0058315B"/>
    <w:rsid w:val="0058417E"/>
    <w:rsid w:val="00584670"/>
    <w:rsid w:val="0058494E"/>
    <w:rsid w:val="00584A34"/>
    <w:rsid w:val="00585366"/>
    <w:rsid w:val="00590860"/>
    <w:rsid w:val="00591077"/>
    <w:rsid w:val="005925E2"/>
    <w:rsid w:val="00593D13"/>
    <w:rsid w:val="00596A61"/>
    <w:rsid w:val="005979F0"/>
    <w:rsid w:val="00597E35"/>
    <w:rsid w:val="005A01DC"/>
    <w:rsid w:val="005A0505"/>
    <w:rsid w:val="005A0A55"/>
    <w:rsid w:val="005A3086"/>
    <w:rsid w:val="005A4A42"/>
    <w:rsid w:val="005A4D7F"/>
    <w:rsid w:val="005A52EC"/>
    <w:rsid w:val="005A6AA8"/>
    <w:rsid w:val="005A6AB3"/>
    <w:rsid w:val="005A6BAB"/>
    <w:rsid w:val="005A6D16"/>
    <w:rsid w:val="005B0893"/>
    <w:rsid w:val="005B6046"/>
    <w:rsid w:val="005B6395"/>
    <w:rsid w:val="005B6C57"/>
    <w:rsid w:val="005B734D"/>
    <w:rsid w:val="005C1804"/>
    <w:rsid w:val="005C3034"/>
    <w:rsid w:val="005C37B4"/>
    <w:rsid w:val="005C4828"/>
    <w:rsid w:val="005C73A8"/>
    <w:rsid w:val="005D0E87"/>
    <w:rsid w:val="005D13B5"/>
    <w:rsid w:val="005D1DB2"/>
    <w:rsid w:val="005D2F0F"/>
    <w:rsid w:val="005D3246"/>
    <w:rsid w:val="005D3918"/>
    <w:rsid w:val="005D4B73"/>
    <w:rsid w:val="005D6385"/>
    <w:rsid w:val="005D699D"/>
    <w:rsid w:val="005E11C4"/>
    <w:rsid w:val="005E1B75"/>
    <w:rsid w:val="005E3782"/>
    <w:rsid w:val="005E66F1"/>
    <w:rsid w:val="005E7639"/>
    <w:rsid w:val="005F0DF2"/>
    <w:rsid w:val="005F30E6"/>
    <w:rsid w:val="005F3B1D"/>
    <w:rsid w:val="005F4D22"/>
    <w:rsid w:val="00600F1A"/>
    <w:rsid w:val="0060130E"/>
    <w:rsid w:val="0060251C"/>
    <w:rsid w:val="0060378D"/>
    <w:rsid w:val="00603B2A"/>
    <w:rsid w:val="00604254"/>
    <w:rsid w:val="0060446F"/>
    <w:rsid w:val="0060576E"/>
    <w:rsid w:val="00607709"/>
    <w:rsid w:val="00610F76"/>
    <w:rsid w:val="006128C8"/>
    <w:rsid w:val="00614CFB"/>
    <w:rsid w:val="00617FFA"/>
    <w:rsid w:val="0062018F"/>
    <w:rsid w:val="00620AA4"/>
    <w:rsid w:val="00621F2F"/>
    <w:rsid w:val="006223A6"/>
    <w:rsid w:val="00622E0C"/>
    <w:rsid w:val="00623113"/>
    <w:rsid w:val="006234BE"/>
    <w:rsid w:val="006235F6"/>
    <w:rsid w:val="00624803"/>
    <w:rsid w:val="006304BF"/>
    <w:rsid w:val="00631587"/>
    <w:rsid w:val="00631E37"/>
    <w:rsid w:val="006324BF"/>
    <w:rsid w:val="0063260E"/>
    <w:rsid w:val="0063283E"/>
    <w:rsid w:val="006336DF"/>
    <w:rsid w:val="00633C73"/>
    <w:rsid w:val="00634609"/>
    <w:rsid w:val="00635104"/>
    <w:rsid w:val="00636319"/>
    <w:rsid w:val="00637145"/>
    <w:rsid w:val="00640529"/>
    <w:rsid w:val="006413C2"/>
    <w:rsid w:val="006420C1"/>
    <w:rsid w:val="0064263E"/>
    <w:rsid w:val="006441B6"/>
    <w:rsid w:val="00644470"/>
    <w:rsid w:val="00644510"/>
    <w:rsid w:val="006451AE"/>
    <w:rsid w:val="00645A0F"/>
    <w:rsid w:val="00646465"/>
    <w:rsid w:val="00651209"/>
    <w:rsid w:val="00651A15"/>
    <w:rsid w:val="00652C4E"/>
    <w:rsid w:val="00652E9B"/>
    <w:rsid w:val="006546A6"/>
    <w:rsid w:val="0065597B"/>
    <w:rsid w:val="00661A68"/>
    <w:rsid w:val="00664748"/>
    <w:rsid w:val="00664BCA"/>
    <w:rsid w:val="00666E86"/>
    <w:rsid w:val="00667137"/>
    <w:rsid w:val="0066787A"/>
    <w:rsid w:val="00667EE6"/>
    <w:rsid w:val="00671F57"/>
    <w:rsid w:val="006727DA"/>
    <w:rsid w:val="0067281F"/>
    <w:rsid w:val="00673561"/>
    <w:rsid w:val="006747F7"/>
    <w:rsid w:val="0067571D"/>
    <w:rsid w:val="00677569"/>
    <w:rsid w:val="0068100D"/>
    <w:rsid w:val="006814C4"/>
    <w:rsid w:val="00684113"/>
    <w:rsid w:val="00686A9B"/>
    <w:rsid w:val="00692214"/>
    <w:rsid w:val="00692843"/>
    <w:rsid w:val="00694859"/>
    <w:rsid w:val="00694B93"/>
    <w:rsid w:val="00695E4C"/>
    <w:rsid w:val="006966C0"/>
    <w:rsid w:val="0069775B"/>
    <w:rsid w:val="006978BD"/>
    <w:rsid w:val="006A033E"/>
    <w:rsid w:val="006A2920"/>
    <w:rsid w:val="006A3AEC"/>
    <w:rsid w:val="006A4E82"/>
    <w:rsid w:val="006A760E"/>
    <w:rsid w:val="006B2A75"/>
    <w:rsid w:val="006B38E2"/>
    <w:rsid w:val="006B4A1A"/>
    <w:rsid w:val="006B4BBB"/>
    <w:rsid w:val="006B53CE"/>
    <w:rsid w:val="006C1102"/>
    <w:rsid w:val="006C2BB3"/>
    <w:rsid w:val="006C3277"/>
    <w:rsid w:val="006C3563"/>
    <w:rsid w:val="006C3A39"/>
    <w:rsid w:val="006C5333"/>
    <w:rsid w:val="006C63AC"/>
    <w:rsid w:val="006C72D6"/>
    <w:rsid w:val="006C7AD6"/>
    <w:rsid w:val="006C7B61"/>
    <w:rsid w:val="006D0DB9"/>
    <w:rsid w:val="006D1054"/>
    <w:rsid w:val="006D17B3"/>
    <w:rsid w:val="006D2B23"/>
    <w:rsid w:val="006D2D36"/>
    <w:rsid w:val="006D4C06"/>
    <w:rsid w:val="006D5BF6"/>
    <w:rsid w:val="006D618D"/>
    <w:rsid w:val="006D7F47"/>
    <w:rsid w:val="006E0B0C"/>
    <w:rsid w:val="006E1976"/>
    <w:rsid w:val="006E1E90"/>
    <w:rsid w:val="006E2D00"/>
    <w:rsid w:val="006E4690"/>
    <w:rsid w:val="006E6112"/>
    <w:rsid w:val="006F2ADA"/>
    <w:rsid w:val="006F4C1D"/>
    <w:rsid w:val="006F5668"/>
    <w:rsid w:val="00700307"/>
    <w:rsid w:val="0070033F"/>
    <w:rsid w:val="00701384"/>
    <w:rsid w:val="007016EB"/>
    <w:rsid w:val="00702304"/>
    <w:rsid w:val="0070279A"/>
    <w:rsid w:val="007049F2"/>
    <w:rsid w:val="00704BB9"/>
    <w:rsid w:val="00705EE1"/>
    <w:rsid w:val="0070715F"/>
    <w:rsid w:val="00707516"/>
    <w:rsid w:val="00711CC4"/>
    <w:rsid w:val="007137D8"/>
    <w:rsid w:val="0071380B"/>
    <w:rsid w:val="00713B7C"/>
    <w:rsid w:val="00715458"/>
    <w:rsid w:val="0071652F"/>
    <w:rsid w:val="00723B48"/>
    <w:rsid w:val="007249F1"/>
    <w:rsid w:val="0072603B"/>
    <w:rsid w:val="00726224"/>
    <w:rsid w:val="007263B4"/>
    <w:rsid w:val="00727DF3"/>
    <w:rsid w:val="007306E2"/>
    <w:rsid w:val="007323ED"/>
    <w:rsid w:val="00733ED1"/>
    <w:rsid w:val="00735C39"/>
    <w:rsid w:val="00736156"/>
    <w:rsid w:val="00740686"/>
    <w:rsid w:val="00740AA5"/>
    <w:rsid w:val="00746639"/>
    <w:rsid w:val="00750AAD"/>
    <w:rsid w:val="00753095"/>
    <w:rsid w:val="00753EEE"/>
    <w:rsid w:val="00754075"/>
    <w:rsid w:val="00755E7B"/>
    <w:rsid w:val="00756213"/>
    <w:rsid w:val="0075638D"/>
    <w:rsid w:val="0075712C"/>
    <w:rsid w:val="00765594"/>
    <w:rsid w:val="00767D16"/>
    <w:rsid w:val="007712AC"/>
    <w:rsid w:val="007718E6"/>
    <w:rsid w:val="0077310D"/>
    <w:rsid w:val="0077347A"/>
    <w:rsid w:val="0077567F"/>
    <w:rsid w:val="00775B4A"/>
    <w:rsid w:val="00776BAD"/>
    <w:rsid w:val="00777427"/>
    <w:rsid w:val="0078043F"/>
    <w:rsid w:val="0078082E"/>
    <w:rsid w:val="00780C6C"/>
    <w:rsid w:val="007823FE"/>
    <w:rsid w:val="007836B4"/>
    <w:rsid w:val="00784766"/>
    <w:rsid w:val="00785619"/>
    <w:rsid w:val="00786051"/>
    <w:rsid w:val="0079104B"/>
    <w:rsid w:val="007915CF"/>
    <w:rsid w:val="007924DF"/>
    <w:rsid w:val="0079280E"/>
    <w:rsid w:val="0079322D"/>
    <w:rsid w:val="00794372"/>
    <w:rsid w:val="00795B0C"/>
    <w:rsid w:val="007974BE"/>
    <w:rsid w:val="00797913"/>
    <w:rsid w:val="007A3096"/>
    <w:rsid w:val="007A503D"/>
    <w:rsid w:val="007A52D0"/>
    <w:rsid w:val="007A6583"/>
    <w:rsid w:val="007A6956"/>
    <w:rsid w:val="007A79D7"/>
    <w:rsid w:val="007A7E70"/>
    <w:rsid w:val="007B0211"/>
    <w:rsid w:val="007B184E"/>
    <w:rsid w:val="007B1EB7"/>
    <w:rsid w:val="007B376D"/>
    <w:rsid w:val="007B4C3D"/>
    <w:rsid w:val="007B5568"/>
    <w:rsid w:val="007B57F8"/>
    <w:rsid w:val="007B627B"/>
    <w:rsid w:val="007C3714"/>
    <w:rsid w:val="007C552D"/>
    <w:rsid w:val="007C68D8"/>
    <w:rsid w:val="007C6DE6"/>
    <w:rsid w:val="007C73EA"/>
    <w:rsid w:val="007D21CF"/>
    <w:rsid w:val="007D2B05"/>
    <w:rsid w:val="007D37C7"/>
    <w:rsid w:val="007D5A20"/>
    <w:rsid w:val="007D7033"/>
    <w:rsid w:val="007E014F"/>
    <w:rsid w:val="007E1678"/>
    <w:rsid w:val="007E457C"/>
    <w:rsid w:val="007E5FD5"/>
    <w:rsid w:val="007E6107"/>
    <w:rsid w:val="007E6C1E"/>
    <w:rsid w:val="007F0977"/>
    <w:rsid w:val="007F1538"/>
    <w:rsid w:val="007F17DA"/>
    <w:rsid w:val="007F1C51"/>
    <w:rsid w:val="007F242F"/>
    <w:rsid w:val="007F41F9"/>
    <w:rsid w:val="007F4BE6"/>
    <w:rsid w:val="007F5A15"/>
    <w:rsid w:val="007F60B1"/>
    <w:rsid w:val="007F7202"/>
    <w:rsid w:val="007F7E50"/>
    <w:rsid w:val="0080005A"/>
    <w:rsid w:val="00800271"/>
    <w:rsid w:val="00803661"/>
    <w:rsid w:val="00803C9A"/>
    <w:rsid w:val="008040F3"/>
    <w:rsid w:val="00805CEB"/>
    <w:rsid w:val="008062A8"/>
    <w:rsid w:val="008075CD"/>
    <w:rsid w:val="00807F43"/>
    <w:rsid w:val="008102CC"/>
    <w:rsid w:val="00810450"/>
    <w:rsid w:val="0081084E"/>
    <w:rsid w:val="00811352"/>
    <w:rsid w:val="008127CA"/>
    <w:rsid w:val="008134EA"/>
    <w:rsid w:val="0081490D"/>
    <w:rsid w:val="008161AD"/>
    <w:rsid w:val="00816DB4"/>
    <w:rsid w:val="00822507"/>
    <w:rsid w:val="00822614"/>
    <w:rsid w:val="008230ED"/>
    <w:rsid w:val="00823218"/>
    <w:rsid w:val="00823EC1"/>
    <w:rsid w:val="00825BF9"/>
    <w:rsid w:val="00830777"/>
    <w:rsid w:val="00830B94"/>
    <w:rsid w:val="00832626"/>
    <w:rsid w:val="008334A7"/>
    <w:rsid w:val="00833FF5"/>
    <w:rsid w:val="0083406A"/>
    <w:rsid w:val="00835434"/>
    <w:rsid w:val="00835A77"/>
    <w:rsid w:val="00835C45"/>
    <w:rsid w:val="00835E68"/>
    <w:rsid w:val="0083739E"/>
    <w:rsid w:val="00837513"/>
    <w:rsid w:val="008375BA"/>
    <w:rsid w:val="0083764F"/>
    <w:rsid w:val="00837A4D"/>
    <w:rsid w:val="00840C4D"/>
    <w:rsid w:val="00841893"/>
    <w:rsid w:val="0084245E"/>
    <w:rsid w:val="008438F4"/>
    <w:rsid w:val="00844452"/>
    <w:rsid w:val="0084556C"/>
    <w:rsid w:val="008460B0"/>
    <w:rsid w:val="0084675C"/>
    <w:rsid w:val="00846824"/>
    <w:rsid w:val="0085150B"/>
    <w:rsid w:val="00851720"/>
    <w:rsid w:val="0085254A"/>
    <w:rsid w:val="008529DD"/>
    <w:rsid w:val="00853F34"/>
    <w:rsid w:val="008566CB"/>
    <w:rsid w:val="00856F86"/>
    <w:rsid w:val="00860B28"/>
    <w:rsid w:val="00861E69"/>
    <w:rsid w:val="0086368E"/>
    <w:rsid w:val="0086476E"/>
    <w:rsid w:val="00865A81"/>
    <w:rsid w:val="00870454"/>
    <w:rsid w:val="00871207"/>
    <w:rsid w:val="00871600"/>
    <w:rsid w:val="008738A1"/>
    <w:rsid w:val="00873DFF"/>
    <w:rsid w:val="00874723"/>
    <w:rsid w:val="00880064"/>
    <w:rsid w:val="008814EA"/>
    <w:rsid w:val="008815E5"/>
    <w:rsid w:val="00882314"/>
    <w:rsid w:val="00883F96"/>
    <w:rsid w:val="008901A8"/>
    <w:rsid w:val="008917D4"/>
    <w:rsid w:val="008924A9"/>
    <w:rsid w:val="00893613"/>
    <w:rsid w:val="00893E02"/>
    <w:rsid w:val="00895AA9"/>
    <w:rsid w:val="00897AF1"/>
    <w:rsid w:val="008A1339"/>
    <w:rsid w:val="008A22CE"/>
    <w:rsid w:val="008A33DC"/>
    <w:rsid w:val="008A4EEE"/>
    <w:rsid w:val="008B16A4"/>
    <w:rsid w:val="008B28A1"/>
    <w:rsid w:val="008B2B77"/>
    <w:rsid w:val="008B2E3D"/>
    <w:rsid w:val="008B3A08"/>
    <w:rsid w:val="008B5FC9"/>
    <w:rsid w:val="008B7C2E"/>
    <w:rsid w:val="008C1AC8"/>
    <w:rsid w:val="008C210C"/>
    <w:rsid w:val="008C38B5"/>
    <w:rsid w:val="008C4507"/>
    <w:rsid w:val="008C5973"/>
    <w:rsid w:val="008C6D4A"/>
    <w:rsid w:val="008C7DA0"/>
    <w:rsid w:val="008D116F"/>
    <w:rsid w:val="008D1BBF"/>
    <w:rsid w:val="008D34CA"/>
    <w:rsid w:val="008D4D36"/>
    <w:rsid w:val="008D67A5"/>
    <w:rsid w:val="008D6C91"/>
    <w:rsid w:val="008D6FA3"/>
    <w:rsid w:val="008D76DE"/>
    <w:rsid w:val="008E1F3A"/>
    <w:rsid w:val="008E2F6C"/>
    <w:rsid w:val="008E34E0"/>
    <w:rsid w:val="008E3F6A"/>
    <w:rsid w:val="008F02A9"/>
    <w:rsid w:val="008F0531"/>
    <w:rsid w:val="008F0F36"/>
    <w:rsid w:val="008F330E"/>
    <w:rsid w:val="008F4FA3"/>
    <w:rsid w:val="008F5A8C"/>
    <w:rsid w:val="008F5B18"/>
    <w:rsid w:val="008F6F27"/>
    <w:rsid w:val="008F7A96"/>
    <w:rsid w:val="00900D87"/>
    <w:rsid w:val="00901171"/>
    <w:rsid w:val="00902846"/>
    <w:rsid w:val="00902A52"/>
    <w:rsid w:val="009051E3"/>
    <w:rsid w:val="00906365"/>
    <w:rsid w:val="009066A7"/>
    <w:rsid w:val="009103AF"/>
    <w:rsid w:val="00911610"/>
    <w:rsid w:val="0091662F"/>
    <w:rsid w:val="009168E2"/>
    <w:rsid w:val="00916BDE"/>
    <w:rsid w:val="00916D8C"/>
    <w:rsid w:val="00920FB7"/>
    <w:rsid w:val="0092327D"/>
    <w:rsid w:val="0092367A"/>
    <w:rsid w:val="00923B89"/>
    <w:rsid w:val="00924C42"/>
    <w:rsid w:val="009321E4"/>
    <w:rsid w:val="009323B7"/>
    <w:rsid w:val="00936D67"/>
    <w:rsid w:val="0093763B"/>
    <w:rsid w:val="00937D07"/>
    <w:rsid w:val="00937D36"/>
    <w:rsid w:val="00937E5D"/>
    <w:rsid w:val="00940871"/>
    <w:rsid w:val="00943271"/>
    <w:rsid w:val="0094373F"/>
    <w:rsid w:val="009509B4"/>
    <w:rsid w:val="00951389"/>
    <w:rsid w:val="00952151"/>
    <w:rsid w:val="009521C6"/>
    <w:rsid w:val="0095308D"/>
    <w:rsid w:val="00956023"/>
    <w:rsid w:val="00961C60"/>
    <w:rsid w:val="00965CC9"/>
    <w:rsid w:val="00966468"/>
    <w:rsid w:val="00967471"/>
    <w:rsid w:val="00967536"/>
    <w:rsid w:val="00967DA2"/>
    <w:rsid w:val="00971866"/>
    <w:rsid w:val="00971D12"/>
    <w:rsid w:val="00974AC0"/>
    <w:rsid w:val="00974F52"/>
    <w:rsid w:val="00976723"/>
    <w:rsid w:val="009768B0"/>
    <w:rsid w:val="00977E58"/>
    <w:rsid w:val="00981E64"/>
    <w:rsid w:val="00981FAE"/>
    <w:rsid w:val="009820DA"/>
    <w:rsid w:val="00984959"/>
    <w:rsid w:val="00990DB6"/>
    <w:rsid w:val="0099203B"/>
    <w:rsid w:val="0099254E"/>
    <w:rsid w:val="009925B7"/>
    <w:rsid w:val="00992A54"/>
    <w:rsid w:val="00992AB5"/>
    <w:rsid w:val="0099349D"/>
    <w:rsid w:val="00994742"/>
    <w:rsid w:val="009954E2"/>
    <w:rsid w:val="009979CA"/>
    <w:rsid w:val="009A1771"/>
    <w:rsid w:val="009A1E31"/>
    <w:rsid w:val="009A3363"/>
    <w:rsid w:val="009A3838"/>
    <w:rsid w:val="009A4284"/>
    <w:rsid w:val="009A501A"/>
    <w:rsid w:val="009A5424"/>
    <w:rsid w:val="009B0C02"/>
    <w:rsid w:val="009B30DB"/>
    <w:rsid w:val="009B35C6"/>
    <w:rsid w:val="009B38ED"/>
    <w:rsid w:val="009B43BE"/>
    <w:rsid w:val="009C23CD"/>
    <w:rsid w:val="009C29A5"/>
    <w:rsid w:val="009C685C"/>
    <w:rsid w:val="009C78A6"/>
    <w:rsid w:val="009D0A30"/>
    <w:rsid w:val="009D0D5D"/>
    <w:rsid w:val="009D0EC4"/>
    <w:rsid w:val="009D1C57"/>
    <w:rsid w:val="009D24B3"/>
    <w:rsid w:val="009D2EBF"/>
    <w:rsid w:val="009D3D11"/>
    <w:rsid w:val="009D4845"/>
    <w:rsid w:val="009D690B"/>
    <w:rsid w:val="009D6989"/>
    <w:rsid w:val="009D6DF9"/>
    <w:rsid w:val="009D77EB"/>
    <w:rsid w:val="009D7A52"/>
    <w:rsid w:val="009D7DB8"/>
    <w:rsid w:val="009D7DFF"/>
    <w:rsid w:val="009E19A4"/>
    <w:rsid w:val="009E3337"/>
    <w:rsid w:val="009E3672"/>
    <w:rsid w:val="009E408F"/>
    <w:rsid w:val="009E4F54"/>
    <w:rsid w:val="009E77DA"/>
    <w:rsid w:val="009F0391"/>
    <w:rsid w:val="009F097F"/>
    <w:rsid w:val="009F0BAC"/>
    <w:rsid w:val="009F0C59"/>
    <w:rsid w:val="009F26A2"/>
    <w:rsid w:val="009F2D4C"/>
    <w:rsid w:val="009F3B6D"/>
    <w:rsid w:val="009F7781"/>
    <w:rsid w:val="009F7A5F"/>
    <w:rsid w:val="00A00142"/>
    <w:rsid w:val="00A0195E"/>
    <w:rsid w:val="00A02439"/>
    <w:rsid w:val="00A038AD"/>
    <w:rsid w:val="00A04688"/>
    <w:rsid w:val="00A06737"/>
    <w:rsid w:val="00A07587"/>
    <w:rsid w:val="00A07625"/>
    <w:rsid w:val="00A07721"/>
    <w:rsid w:val="00A124B4"/>
    <w:rsid w:val="00A12783"/>
    <w:rsid w:val="00A12824"/>
    <w:rsid w:val="00A12935"/>
    <w:rsid w:val="00A12B7B"/>
    <w:rsid w:val="00A13646"/>
    <w:rsid w:val="00A152E0"/>
    <w:rsid w:val="00A1735A"/>
    <w:rsid w:val="00A17466"/>
    <w:rsid w:val="00A17769"/>
    <w:rsid w:val="00A179E8"/>
    <w:rsid w:val="00A17A42"/>
    <w:rsid w:val="00A2019D"/>
    <w:rsid w:val="00A201E7"/>
    <w:rsid w:val="00A21E27"/>
    <w:rsid w:val="00A228DE"/>
    <w:rsid w:val="00A23D10"/>
    <w:rsid w:val="00A24036"/>
    <w:rsid w:val="00A2516A"/>
    <w:rsid w:val="00A25679"/>
    <w:rsid w:val="00A26BE8"/>
    <w:rsid w:val="00A26FF8"/>
    <w:rsid w:val="00A31428"/>
    <w:rsid w:val="00A31471"/>
    <w:rsid w:val="00A33D14"/>
    <w:rsid w:val="00A35780"/>
    <w:rsid w:val="00A40FB3"/>
    <w:rsid w:val="00A444AA"/>
    <w:rsid w:val="00A479A2"/>
    <w:rsid w:val="00A506C1"/>
    <w:rsid w:val="00A50BDE"/>
    <w:rsid w:val="00A53C38"/>
    <w:rsid w:val="00A540B1"/>
    <w:rsid w:val="00A54D13"/>
    <w:rsid w:val="00A612A0"/>
    <w:rsid w:val="00A61ECA"/>
    <w:rsid w:val="00A626D4"/>
    <w:rsid w:val="00A62A83"/>
    <w:rsid w:val="00A6302F"/>
    <w:rsid w:val="00A63F64"/>
    <w:rsid w:val="00A65AA5"/>
    <w:rsid w:val="00A670A8"/>
    <w:rsid w:val="00A70436"/>
    <w:rsid w:val="00A71845"/>
    <w:rsid w:val="00A725AF"/>
    <w:rsid w:val="00A73D79"/>
    <w:rsid w:val="00A747A4"/>
    <w:rsid w:val="00A752EA"/>
    <w:rsid w:val="00A754E2"/>
    <w:rsid w:val="00A76C82"/>
    <w:rsid w:val="00A8545B"/>
    <w:rsid w:val="00A86E0B"/>
    <w:rsid w:val="00A87752"/>
    <w:rsid w:val="00A900AE"/>
    <w:rsid w:val="00A909B0"/>
    <w:rsid w:val="00A91AA9"/>
    <w:rsid w:val="00A92288"/>
    <w:rsid w:val="00A92F3D"/>
    <w:rsid w:val="00A939B8"/>
    <w:rsid w:val="00A961E9"/>
    <w:rsid w:val="00A97081"/>
    <w:rsid w:val="00A970C9"/>
    <w:rsid w:val="00A977B1"/>
    <w:rsid w:val="00A97E23"/>
    <w:rsid w:val="00AA0E22"/>
    <w:rsid w:val="00AA1C5C"/>
    <w:rsid w:val="00AA2BC5"/>
    <w:rsid w:val="00AA4B3C"/>
    <w:rsid w:val="00AA5FD0"/>
    <w:rsid w:val="00AA7029"/>
    <w:rsid w:val="00AA74CA"/>
    <w:rsid w:val="00AB00D1"/>
    <w:rsid w:val="00AB1565"/>
    <w:rsid w:val="00AB1A30"/>
    <w:rsid w:val="00AB3194"/>
    <w:rsid w:val="00AB3383"/>
    <w:rsid w:val="00AB3F9D"/>
    <w:rsid w:val="00AB3FA9"/>
    <w:rsid w:val="00AB4199"/>
    <w:rsid w:val="00AB6D66"/>
    <w:rsid w:val="00AB7E75"/>
    <w:rsid w:val="00AC04E3"/>
    <w:rsid w:val="00AC4B27"/>
    <w:rsid w:val="00AC5EC2"/>
    <w:rsid w:val="00AC67F5"/>
    <w:rsid w:val="00AD08D5"/>
    <w:rsid w:val="00AD6B57"/>
    <w:rsid w:val="00AD7198"/>
    <w:rsid w:val="00AE0214"/>
    <w:rsid w:val="00AE0BE6"/>
    <w:rsid w:val="00AE0E31"/>
    <w:rsid w:val="00AE10E5"/>
    <w:rsid w:val="00AE1D78"/>
    <w:rsid w:val="00AE35A2"/>
    <w:rsid w:val="00AE3FD8"/>
    <w:rsid w:val="00AE48DF"/>
    <w:rsid w:val="00AE62C6"/>
    <w:rsid w:val="00AE6F76"/>
    <w:rsid w:val="00AE795A"/>
    <w:rsid w:val="00AE7EBD"/>
    <w:rsid w:val="00AF0BE3"/>
    <w:rsid w:val="00AF17E5"/>
    <w:rsid w:val="00AF22BE"/>
    <w:rsid w:val="00AF2C41"/>
    <w:rsid w:val="00AF3961"/>
    <w:rsid w:val="00AF4192"/>
    <w:rsid w:val="00AF4B74"/>
    <w:rsid w:val="00AF6A41"/>
    <w:rsid w:val="00AF72BD"/>
    <w:rsid w:val="00AF749A"/>
    <w:rsid w:val="00AF7B7D"/>
    <w:rsid w:val="00B00AFA"/>
    <w:rsid w:val="00B010C8"/>
    <w:rsid w:val="00B0250B"/>
    <w:rsid w:val="00B028A9"/>
    <w:rsid w:val="00B035D3"/>
    <w:rsid w:val="00B03E5A"/>
    <w:rsid w:val="00B0449E"/>
    <w:rsid w:val="00B04DDB"/>
    <w:rsid w:val="00B06F1E"/>
    <w:rsid w:val="00B11851"/>
    <w:rsid w:val="00B11E2C"/>
    <w:rsid w:val="00B11F51"/>
    <w:rsid w:val="00B13F13"/>
    <w:rsid w:val="00B151F8"/>
    <w:rsid w:val="00B161C9"/>
    <w:rsid w:val="00B16820"/>
    <w:rsid w:val="00B16E93"/>
    <w:rsid w:val="00B1782B"/>
    <w:rsid w:val="00B17D9A"/>
    <w:rsid w:val="00B233E1"/>
    <w:rsid w:val="00B2436E"/>
    <w:rsid w:val="00B245DA"/>
    <w:rsid w:val="00B2476C"/>
    <w:rsid w:val="00B25083"/>
    <w:rsid w:val="00B25A87"/>
    <w:rsid w:val="00B264C1"/>
    <w:rsid w:val="00B26E39"/>
    <w:rsid w:val="00B27AFA"/>
    <w:rsid w:val="00B30BDA"/>
    <w:rsid w:val="00B32632"/>
    <w:rsid w:val="00B34036"/>
    <w:rsid w:val="00B3576B"/>
    <w:rsid w:val="00B37976"/>
    <w:rsid w:val="00B43740"/>
    <w:rsid w:val="00B439C5"/>
    <w:rsid w:val="00B451A5"/>
    <w:rsid w:val="00B46073"/>
    <w:rsid w:val="00B46C8D"/>
    <w:rsid w:val="00B52A31"/>
    <w:rsid w:val="00B5667C"/>
    <w:rsid w:val="00B568E8"/>
    <w:rsid w:val="00B56CAE"/>
    <w:rsid w:val="00B611D8"/>
    <w:rsid w:val="00B633E8"/>
    <w:rsid w:val="00B649A4"/>
    <w:rsid w:val="00B64DD4"/>
    <w:rsid w:val="00B652C2"/>
    <w:rsid w:val="00B659E2"/>
    <w:rsid w:val="00B66A1E"/>
    <w:rsid w:val="00B66B2E"/>
    <w:rsid w:val="00B67859"/>
    <w:rsid w:val="00B70AAC"/>
    <w:rsid w:val="00B711B6"/>
    <w:rsid w:val="00B711B8"/>
    <w:rsid w:val="00B72C11"/>
    <w:rsid w:val="00B73067"/>
    <w:rsid w:val="00B73724"/>
    <w:rsid w:val="00B74530"/>
    <w:rsid w:val="00B74A66"/>
    <w:rsid w:val="00B75FA5"/>
    <w:rsid w:val="00B76FB6"/>
    <w:rsid w:val="00B77515"/>
    <w:rsid w:val="00B77EF6"/>
    <w:rsid w:val="00B836B3"/>
    <w:rsid w:val="00B83EA7"/>
    <w:rsid w:val="00B848E3"/>
    <w:rsid w:val="00B86219"/>
    <w:rsid w:val="00B869F0"/>
    <w:rsid w:val="00B92B1F"/>
    <w:rsid w:val="00B93660"/>
    <w:rsid w:val="00B97334"/>
    <w:rsid w:val="00B977B5"/>
    <w:rsid w:val="00BA006D"/>
    <w:rsid w:val="00BA0664"/>
    <w:rsid w:val="00BA0CB9"/>
    <w:rsid w:val="00BA1A67"/>
    <w:rsid w:val="00BA47A6"/>
    <w:rsid w:val="00BA656D"/>
    <w:rsid w:val="00BB0F9C"/>
    <w:rsid w:val="00BB1196"/>
    <w:rsid w:val="00BB2ED3"/>
    <w:rsid w:val="00BB393F"/>
    <w:rsid w:val="00BB5E70"/>
    <w:rsid w:val="00BB5E7B"/>
    <w:rsid w:val="00BB7401"/>
    <w:rsid w:val="00BB7A10"/>
    <w:rsid w:val="00BC03C9"/>
    <w:rsid w:val="00BC16C0"/>
    <w:rsid w:val="00BC3BD6"/>
    <w:rsid w:val="00BC608B"/>
    <w:rsid w:val="00BC64A3"/>
    <w:rsid w:val="00BC6D31"/>
    <w:rsid w:val="00BD4C5E"/>
    <w:rsid w:val="00BD584D"/>
    <w:rsid w:val="00BD66ED"/>
    <w:rsid w:val="00BD7AE5"/>
    <w:rsid w:val="00BE03AE"/>
    <w:rsid w:val="00BE1FA2"/>
    <w:rsid w:val="00BE37FE"/>
    <w:rsid w:val="00BE38A3"/>
    <w:rsid w:val="00BE6A1E"/>
    <w:rsid w:val="00BF02E5"/>
    <w:rsid w:val="00BF0B1F"/>
    <w:rsid w:val="00BF230C"/>
    <w:rsid w:val="00BF35BA"/>
    <w:rsid w:val="00BF454E"/>
    <w:rsid w:val="00BF4FA6"/>
    <w:rsid w:val="00BF5151"/>
    <w:rsid w:val="00BF53D8"/>
    <w:rsid w:val="00BF618B"/>
    <w:rsid w:val="00BF664C"/>
    <w:rsid w:val="00C003C4"/>
    <w:rsid w:val="00C01CC0"/>
    <w:rsid w:val="00C02233"/>
    <w:rsid w:val="00C0275D"/>
    <w:rsid w:val="00C077B9"/>
    <w:rsid w:val="00C07EE0"/>
    <w:rsid w:val="00C108F3"/>
    <w:rsid w:val="00C10E39"/>
    <w:rsid w:val="00C121B4"/>
    <w:rsid w:val="00C12564"/>
    <w:rsid w:val="00C130EB"/>
    <w:rsid w:val="00C13F42"/>
    <w:rsid w:val="00C140B7"/>
    <w:rsid w:val="00C161DA"/>
    <w:rsid w:val="00C2095B"/>
    <w:rsid w:val="00C226CA"/>
    <w:rsid w:val="00C22D75"/>
    <w:rsid w:val="00C23E82"/>
    <w:rsid w:val="00C242B8"/>
    <w:rsid w:val="00C25A78"/>
    <w:rsid w:val="00C26DD0"/>
    <w:rsid w:val="00C312F7"/>
    <w:rsid w:val="00C3157D"/>
    <w:rsid w:val="00C3172F"/>
    <w:rsid w:val="00C348A2"/>
    <w:rsid w:val="00C3692D"/>
    <w:rsid w:val="00C41001"/>
    <w:rsid w:val="00C42C8C"/>
    <w:rsid w:val="00C42D57"/>
    <w:rsid w:val="00C42E25"/>
    <w:rsid w:val="00C42FB1"/>
    <w:rsid w:val="00C46448"/>
    <w:rsid w:val="00C46B17"/>
    <w:rsid w:val="00C46B2F"/>
    <w:rsid w:val="00C47111"/>
    <w:rsid w:val="00C47EC6"/>
    <w:rsid w:val="00C50933"/>
    <w:rsid w:val="00C50AD3"/>
    <w:rsid w:val="00C55970"/>
    <w:rsid w:val="00C56B95"/>
    <w:rsid w:val="00C5704D"/>
    <w:rsid w:val="00C57BD8"/>
    <w:rsid w:val="00C603B8"/>
    <w:rsid w:val="00C60430"/>
    <w:rsid w:val="00C611FD"/>
    <w:rsid w:val="00C63743"/>
    <w:rsid w:val="00C66655"/>
    <w:rsid w:val="00C718F3"/>
    <w:rsid w:val="00C72AD0"/>
    <w:rsid w:val="00C72AD4"/>
    <w:rsid w:val="00C72FB1"/>
    <w:rsid w:val="00C737D0"/>
    <w:rsid w:val="00C738B1"/>
    <w:rsid w:val="00C75C9E"/>
    <w:rsid w:val="00C77599"/>
    <w:rsid w:val="00C808F9"/>
    <w:rsid w:val="00C8152E"/>
    <w:rsid w:val="00C83503"/>
    <w:rsid w:val="00C83CC5"/>
    <w:rsid w:val="00C86C7F"/>
    <w:rsid w:val="00C87872"/>
    <w:rsid w:val="00C90850"/>
    <w:rsid w:val="00C9370E"/>
    <w:rsid w:val="00C95170"/>
    <w:rsid w:val="00C97DD7"/>
    <w:rsid w:val="00C97F4A"/>
    <w:rsid w:val="00CA0DE3"/>
    <w:rsid w:val="00CA1A65"/>
    <w:rsid w:val="00CA2765"/>
    <w:rsid w:val="00CA319E"/>
    <w:rsid w:val="00CA64DE"/>
    <w:rsid w:val="00CB19CE"/>
    <w:rsid w:val="00CB22D6"/>
    <w:rsid w:val="00CB2A28"/>
    <w:rsid w:val="00CB3CC6"/>
    <w:rsid w:val="00CB429D"/>
    <w:rsid w:val="00CB4558"/>
    <w:rsid w:val="00CB4BD0"/>
    <w:rsid w:val="00CB60D1"/>
    <w:rsid w:val="00CB69DE"/>
    <w:rsid w:val="00CB79EE"/>
    <w:rsid w:val="00CC0201"/>
    <w:rsid w:val="00CC1211"/>
    <w:rsid w:val="00CC178E"/>
    <w:rsid w:val="00CC1A99"/>
    <w:rsid w:val="00CC3749"/>
    <w:rsid w:val="00CC41F7"/>
    <w:rsid w:val="00CC4D3D"/>
    <w:rsid w:val="00CC5145"/>
    <w:rsid w:val="00CC5BDC"/>
    <w:rsid w:val="00CD02B0"/>
    <w:rsid w:val="00CD07E7"/>
    <w:rsid w:val="00CD0F2D"/>
    <w:rsid w:val="00CD1415"/>
    <w:rsid w:val="00CD1C3F"/>
    <w:rsid w:val="00CD4220"/>
    <w:rsid w:val="00CD5021"/>
    <w:rsid w:val="00CE20DC"/>
    <w:rsid w:val="00CE2207"/>
    <w:rsid w:val="00CE27A2"/>
    <w:rsid w:val="00CE361A"/>
    <w:rsid w:val="00CE3789"/>
    <w:rsid w:val="00CE3899"/>
    <w:rsid w:val="00CE4C74"/>
    <w:rsid w:val="00CE6E7E"/>
    <w:rsid w:val="00CE7AB3"/>
    <w:rsid w:val="00CE7B6B"/>
    <w:rsid w:val="00CF2A64"/>
    <w:rsid w:val="00CF383B"/>
    <w:rsid w:val="00CF40B1"/>
    <w:rsid w:val="00CF4424"/>
    <w:rsid w:val="00CF46E3"/>
    <w:rsid w:val="00CF5954"/>
    <w:rsid w:val="00CF5B8F"/>
    <w:rsid w:val="00CF6300"/>
    <w:rsid w:val="00CF6762"/>
    <w:rsid w:val="00D00B04"/>
    <w:rsid w:val="00D00E20"/>
    <w:rsid w:val="00D02376"/>
    <w:rsid w:val="00D02666"/>
    <w:rsid w:val="00D03770"/>
    <w:rsid w:val="00D047D4"/>
    <w:rsid w:val="00D04A90"/>
    <w:rsid w:val="00D071DC"/>
    <w:rsid w:val="00D07CFA"/>
    <w:rsid w:val="00D1373A"/>
    <w:rsid w:val="00D13D0B"/>
    <w:rsid w:val="00D15A86"/>
    <w:rsid w:val="00D15B4A"/>
    <w:rsid w:val="00D16698"/>
    <w:rsid w:val="00D17A9E"/>
    <w:rsid w:val="00D17F84"/>
    <w:rsid w:val="00D17FB4"/>
    <w:rsid w:val="00D20C3E"/>
    <w:rsid w:val="00D21780"/>
    <w:rsid w:val="00D23A8E"/>
    <w:rsid w:val="00D24643"/>
    <w:rsid w:val="00D24DEA"/>
    <w:rsid w:val="00D2510A"/>
    <w:rsid w:val="00D25F5D"/>
    <w:rsid w:val="00D2656C"/>
    <w:rsid w:val="00D31AB5"/>
    <w:rsid w:val="00D33F8A"/>
    <w:rsid w:val="00D3459C"/>
    <w:rsid w:val="00D35262"/>
    <w:rsid w:val="00D35930"/>
    <w:rsid w:val="00D36A0A"/>
    <w:rsid w:val="00D42540"/>
    <w:rsid w:val="00D42AEE"/>
    <w:rsid w:val="00D431AA"/>
    <w:rsid w:val="00D44680"/>
    <w:rsid w:val="00D4604E"/>
    <w:rsid w:val="00D47043"/>
    <w:rsid w:val="00D473ED"/>
    <w:rsid w:val="00D51404"/>
    <w:rsid w:val="00D549F4"/>
    <w:rsid w:val="00D55E3E"/>
    <w:rsid w:val="00D5636A"/>
    <w:rsid w:val="00D57ACB"/>
    <w:rsid w:val="00D60E27"/>
    <w:rsid w:val="00D617F9"/>
    <w:rsid w:val="00D644BF"/>
    <w:rsid w:val="00D67FF7"/>
    <w:rsid w:val="00D70BC5"/>
    <w:rsid w:val="00D71700"/>
    <w:rsid w:val="00D73942"/>
    <w:rsid w:val="00D763BC"/>
    <w:rsid w:val="00D7679C"/>
    <w:rsid w:val="00D811B1"/>
    <w:rsid w:val="00D83928"/>
    <w:rsid w:val="00D85111"/>
    <w:rsid w:val="00D854FA"/>
    <w:rsid w:val="00D87AF2"/>
    <w:rsid w:val="00D9062F"/>
    <w:rsid w:val="00D919C2"/>
    <w:rsid w:val="00D92056"/>
    <w:rsid w:val="00D92377"/>
    <w:rsid w:val="00D93EB2"/>
    <w:rsid w:val="00D96926"/>
    <w:rsid w:val="00D97835"/>
    <w:rsid w:val="00D979A4"/>
    <w:rsid w:val="00DA0159"/>
    <w:rsid w:val="00DA030B"/>
    <w:rsid w:val="00DA12AF"/>
    <w:rsid w:val="00DA527F"/>
    <w:rsid w:val="00DA556E"/>
    <w:rsid w:val="00DA559D"/>
    <w:rsid w:val="00DA564E"/>
    <w:rsid w:val="00DA61F3"/>
    <w:rsid w:val="00DA6E95"/>
    <w:rsid w:val="00DA70B9"/>
    <w:rsid w:val="00DB0DCF"/>
    <w:rsid w:val="00DB1846"/>
    <w:rsid w:val="00DB3226"/>
    <w:rsid w:val="00DB449F"/>
    <w:rsid w:val="00DB49AD"/>
    <w:rsid w:val="00DB4E1D"/>
    <w:rsid w:val="00DB6281"/>
    <w:rsid w:val="00DB7564"/>
    <w:rsid w:val="00DB7DB3"/>
    <w:rsid w:val="00DC4343"/>
    <w:rsid w:val="00DC4D16"/>
    <w:rsid w:val="00DC577E"/>
    <w:rsid w:val="00DC5C9B"/>
    <w:rsid w:val="00DC62CA"/>
    <w:rsid w:val="00DC6304"/>
    <w:rsid w:val="00DC7CA3"/>
    <w:rsid w:val="00DC7E9E"/>
    <w:rsid w:val="00DD227F"/>
    <w:rsid w:val="00DD3AC4"/>
    <w:rsid w:val="00DD3F24"/>
    <w:rsid w:val="00DD4331"/>
    <w:rsid w:val="00DD475E"/>
    <w:rsid w:val="00DD4999"/>
    <w:rsid w:val="00DD74B6"/>
    <w:rsid w:val="00DE155C"/>
    <w:rsid w:val="00DE1EF6"/>
    <w:rsid w:val="00DE359E"/>
    <w:rsid w:val="00DE3BD2"/>
    <w:rsid w:val="00DE493C"/>
    <w:rsid w:val="00DE4F90"/>
    <w:rsid w:val="00DE6EE6"/>
    <w:rsid w:val="00DE7C85"/>
    <w:rsid w:val="00DF18F6"/>
    <w:rsid w:val="00DF1A57"/>
    <w:rsid w:val="00DF4EF3"/>
    <w:rsid w:val="00DF7CE7"/>
    <w:rsid w:val="00E0186F"/>
    <w:rsid w:val="00E01BA7"/>
    <w:rsid w:val="00E0215C"/>
    <w:rsid w:val="00E029D7"/>
    <w:rsid w:val="00E047E4"/>
    <w:rsid w:val="00E060C9"/>
    <w:rsid w:val="00E06F60"/>
    <w:rsid w:val="00E07EA0"/>
    <w:rsid w:val="00E126DE"/>
    <w:rsid w:val="00E1286D"/>
    <w:rsid w:val="00E13567"/>
    <w:rsid w:val="00E138DF"/>
    <w:rsid w:val="00E139BE"/>
    <w:rsid w:val="00E150CA"/>
    <w:rsid w:val="00E16572"/>
    <w:rsid w:val="00E16583"/>
    <w:rsid w:val="00E208F4"/>
    <w:rsid w:val="00E20E70"/>
    <w:rsid w:val="00E21076"/>
    <w:rsid w:val="00E23A09"/>
    <w:rsid w:val="00E23A2C"/>
    <w:rsid w:val="00E2600D"/>
    <w:rsid w:val="00E30975"/>
    <w:rsid w:val="00E31FAA"/>
    <w:rsid w:val="00E3232E"/>
    <w:rsid w:val="00E328BD"/>
    <w:rsid w:val="00E331A4"/>
    <w:rsid w:val="00E35131"/>
    <w:rsid w:val="00E35B70"/>
    <w:rsid w:val="00E374B0"/>
    <w:rsid w:val="00E37C50"/>
    <w:rsid w:val="00E40E6F"/>
    <w:rsid w:val="00E424A8"/>
    <w:rsid w:val="00E42942"/>
    <w:rsid w:val="00E446BF"/>
    <w:rsid w:val="00E44F30"/>
    <w:rsid w:val="00E47F22"/>
    <w:rsid w:val="00E509FD"/>
    <w:rsid w:val="00E5198E"/>
    <w:rsid w:val="00E519C7"/>
    <w:rsid w:val="00E53877"/>
    <w:rsid w:val="00E54C32"/>
    <w:rsid w:val="00E54CA7"/>
    <w:rsid w:val="00E55361"/>
    <w:rsid w:val="00E560AA"/>
    <w:rsid w:val="00E57914"/>
    <w:rsid w:val="00E57B56"/>
    <w:rsid w:val="00E60E76"/>
    <w:rsid w:val="00E60F13"/>
    <w:rsid w:val="00E62D2A"/>
    <w:rsid w:val="00E633BB"/>
    <w:rsid w:val="00E64D1F"/>
    <w:rsid w:val="00E6555E"/>
    <w:rsid w:val="00E67C42"/>
    <w:rsid w:val="00E67FB6"/>
    <w:rsid w:val="00E705C4"/>
    <w:rsid w:val="00E70818"/>
    <w:rsid w:val="00E7350C"/>
    <w:rsid w:val="00E7474A"/>
    <w:rsid w:val="00E74877"/>
    <w:rsid w:val="00E77DED"/>
    <w:rsid w:val="00E811D4"/>
    <w:rsid w:val="00E816D0"/>
    <w:rsid w:val="00E820BD"/>
    <w:rsid w:val="00E82D9D"/>
    <w:rsid w:val="00E83500"/>
    <w:rsid w:val="00E83B2D"/>
    <w:rsid w:val="00E8480E"/>
    <w:rsid w:val="00E852E3"/>
    <w:rsid w:val="00E90680"/>
    <w:rsid w:val="00E9292B"/>
    <w:rsid w:val="00E9374F"/>
    <w:rsid w:val="00E93C98"/>
    <w:rsid w:val="00E959E9"/>
    <w:rsid w:val="00E96C86"/>
    <w:rsid w:val="00EA00EB"/>
    <w:rsid w:val="00EA0AEA"/>
    <w:rsid w:val="00EA2534"/>
    <w:rsid w:val="00EA3FBE"/>
    <w:rsid w:val="00EA4C6F"/>
    <w:rsid w:val="00EA5D26"/>
    <w:rsid w:val="00EA76E8"/>
    <w:rsid w:val="00EA786E"/>
    <w:rsid w:val="00EA7D47"/>
    <w:rsid w:val="00EB0DC6"/>
    <w:rsid w:val="00EB17B9"/>
    <w:rsid w:val="00EB182E"/>
    <w:rsid w:val="00EB24D5"/>
    <w:rsid w:val="00EB2623"/>
    <w:rsid w:val="00EB5AA0"/>
    <w:rsid w:val="00EB64D1"/>
    <w:rsid w:val="00EB6949"/>
    <w:rsid w:val="00EB7867"/>
    <w:rsid w:val="00EC1966"/>
    <w:rsid w:val="00EC1F05"/>
    <w:rsid w:val="00EC27BF"/>
    <w:rsid w:val="00EC3C1C"/>
    <w:rsid w:val="00EC44F5"/>
    <w:rsid w:val="00EC45EF"/>
    <w:rsid w:val="00EC4C41"/>
    <w:rsid w:val="00EC4EDF"/>
    <w:rsid w:val="00EC5F3B"/>
    <w:rsid w:val="00EC6153"/>
    <w:rsid w:val="00EC6704"/>
    <w:rsid w:val="00EC7802"/>
    <w:rsid w:val="00ED04F8"/>
    <w:rsid w:val="00ED242A"/>
    <w:rsid w:val="00ED3810"/>
    <w:rsid w:val="00ED4C9B"/>
    <w:rsid w:val="00ED50AD"/>
    <w:rsid w:val="00EE00E1"/>
    <w:rsid w:val="00EE0BF5"/>
    <w:rsid w:val="00EE0F63"/>
    <w:rsid w:val="00EE3B54"/>
    <w:rsid w:val="00EE492F"/>
    <w:rsid w:val="00EE5B62"/>
    <w:rsid w:val="00EE5CC1"/>
    <w:rsid w:val="00EE6249"/>
    <w:rsid w:val="00EE7019"/>
    <w:rsid w:val="00EF0664"/>
    <w:rsid w:val="00EF07D7"/>
    <w:rsid w:val="00EF138F"/>
    <w:rsid w:val="00EF1749"/>
    <w:rsid w:val="00EF332B"/>
    <w:rsid w:val="00EF4746"/>
    <w:rsid w:val="00EF5683"/>
    <w:rsid w:val="00EF5B86"/>
    <w:rsid w:val="00EF6A64"/>
    <w:rsid w:val="00F006B3"/>
    <w:rsid w:val="00F00F87"/>
    <w:rsid w:val="00F03464"/>
    <w:rsid w:val="00F037F8"/>
    <w:rsid w:val="00F05FDE"/>
    <w:rsid w:val="00F1410A"/>
    <w:rsid w:val="00F1485F"/>
    <w:rsid w:val="00F21283"/>
    <w:rsid w:val="00F249A0"/>
    <w:rsid w:val="00F26E89"/>
    <w:rsid w:val="00F31269"/>
    <w:rsid w:val="00F32057"/>
    <w:rsid w:val="00F3360F"/>
    <w:rsid w:val="00F33C07"/>
    <w:rsid w:val="00F34182"/>
    <w:rsid w:val="00F34274"/>
    <w:rsid w:val="00F35173"/>
    <w:rsid w:val="00F3529A"/>
    <w:rsid w:val="00F35E08"/>
    <w:rsid w:val="00F36B76"/>
    <w:rsid w:val="00F40A08"/>
    <w:rsid w:val="00F418E2"/>
    <w:rsid w:val="00F4313C"/>
    <w:rsid w:val="00F44930"/>
    <w:rsid w:val="00F452E1"/>
    <w:rsid w:val="00F46052"/>
    <w:rsid w:val="00F46B7C"/>
    <w:rsid w:val="00F509A8"/>
    <w:rsid w:val="00F51DCD"/>
    <w:rsid w:val="00F54BF5"/>
    <w:rsid w:val="00F550F2"/>
    <w:rsid w:val="00F555E3"/>
    <w:rsid w:val="00F557D1"/>
    <w:rsid w:val="00F56D90"/>
    <w:rsid w:val="00F62DA8"/>
    <w:rsid w:val="00F64315"/>
    <w:rsid w:val="00F64317"/>
    <w:rsid w:val="00F672BB"/>
    <w:rsid w:val="00F67DC6"/>
    <w:rsid w:val="00F71E0B"/>
    <w:rsid w:val="00F727E9"/>
    <w:rsid w:val="00F72BA3"/>
    <w:rsid w:val="00F736F4"/>
    <w:rsid w:val="00F82848"/>
    <w:rsid w:val="00F83342"/>
    <w:rsid w:val="00F83991"/>
    <w:rsid w:val="00F841E8"/>
    <w:rsid w:val="00F85F89"/>
    <w:rsid w:val="00F86540"/>
    <w:rsid w:val="00F87ADC"/>
    <w:rsid w:val="00F87C84"/>
    <w:rsid w:val="00F90C20"/>
    <w:rsid w:val="00F90FA7"/>
    <w:rsid w:val="00F91FCC"/>
    <w:rsid w:val="00F92475"/>
    <w:rsid w:val="00F936B4"/>
    <w:rsid w:val="00F936EA"/>
    <w:rsid w:val="00F94A3C"/>
    <w:rsid w:val="00F94A4F"/>
    <w:rsid w:val="00F94D1A"/>
    <w:rsid w:val="00F94D50"/>
    <w:rsid w:val="00F95616"/>
    <w:rsid w:val="00F974D9"/>
    <w:rsid w:val="00FA0699"/>
    <w:rsid w:val="00FA21D1"/>
    <w:rsid w:val="00FA3421"/>
    <w:rsid w:val="00FA4D10"/>
    <w:rsid w:val="00FA55BF"/>
    <w:rsid w:val="00FA6DF9"/>
    <w:rsid w:val="00FA7343"/>
    <w:rsid w:val="00FA7E95"/>
    <w:rsid w:val="00FB08B6"/>
    <w:rsid w:val="00FB0CE9"/>
    <w:rsid w:val="00FB11FE"/>
    <w:rsid w:val="00FB130D"/>
    <w:rsid w:val="00FB1D0F"/>
    <w:rsid w:val="00FB1E03"/>
    <w:rsid w:val="00FB25B3"/>
    <w:rsid w:val="00FB341B"/>
    <w:rsid w:val="00FB40C5"/>
    <w:rsid w:val="00FB465C"/>
    <w:rsid w:val="00FB4C6C"/>
    <w:rsid w:val="00FB6DA4"/>
    <w:rsid w:val="00FC004A"/>
    <w:rsid w:val="00FC144A"/>
    <w:rsid w:val="00FC44EF"/>
    <w:rsid w:val="00FC45F1"/>
    <w:rsid w:val="00FC67EB"/>
    <w:rsid w:val="00FC6C8F"/>
    <w:rsid w:val="00FD0CCB"/>
    <w:rsid w:val="00FD2864"/>
    <w:rsid w:val="00FD4777"/>
    <w:rsid w:val="00FD659A"/>
    <w:rsid w:val="00FD6A4E"/>
    <w:rsid w:val="00FE1BFE"/>
    <w:rsid w:val="00FE1EAC"/>
    <w:rsid w:val="00FE7850"/>
    <w:rsid w:val="00FF0E9C"/>
    <w:rsid w:val="00FF2010"/>
    <w:rsid w:val="00FF2512"/>
    <w:rsid w:val="00FF3E9A"/>
    <w:rsid w:val="00FF7B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02C06DBF"/>
  <w15:chartTrackingRefBased/>
  <w15:docId w15:val="{EDD5B672-D0FA-49FB-87D8-7748B3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2" w:qFormat="1"/>
    <w:lsdException w:name="heading 7" w:uiPriority="11" w:qFormat="1"/>
    <w:lsdException w:name="heading 8" w:uiPriority="9"/>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6E7E"/>
    <w:pPr>
      <w:spacing w:line="240" w:lineRule="auto"/>
      <w:jc w:val="both"/>
    </w:pPr>
    <w:rPr>
      <w:rFonts w:ascii="Times New Roman" w:hAnsi="Times New Roman"/>
    </w:rPr>
  </w:style>
  <w:style w:type="paragraph" w:styleId="Heading1">
    <w:name w:val="heading 1"/>
    <w:basedOn w:val="Normal"/>
    <w:next w:val="Para0"/>
    <w:link w:val="Heading1Char"/>
    <w:uiPriority w:val="1"/>
    <w:qFormat/>
    <w:rsid w:val="00A670A8"/>
    <w:pPr>
      <w:keepNext/>
      <w:keepLines/>
      <w:pageBreakBefore/>
      <w:numPr>
        <w:numId w:val="22"/>
      </w:numPr>
      <w:spacing w:before="940" w:after="720"/>
      <w:jc w:val="center"/>
      <w:outlineLvl w:val="0"/>
    </w:pPr>
    <w:rPr>
      <w:rFonts w:ascii="Times New Roman Bold" w:eastAsiaTheme="majorEastAsia" w:hAnsi="Times New Roman Bold" w:cstheme="majorBidi"/>
      <w:b/>
      <w:color w:val="4E81BD"/>
      <w:kern w:val="28"/>
      <w:sz w:val="28"/>
      <w:szCs w:val="32"/>
    </w:rPr>
  </w:style>
  <w:style w:type="paragraph" w:styleId="Heading2">
    <w:name w:val="heading 2"/>
    <w:basedOn w:val="Normal"/>
    <w:next w:val="Para0"/>
    <w:link w:val="Heading2Char"/>
    <w:uiPriority w:val="1"/>
    <w:qFormat/>
    <w:rsid w:val="006D2B23"/>
    <w:pPr>
      <w:keepNext/>
      <w:numPr>
        <w:ilvl w:val="1"/>
        <w:numId w:val="22"/>
      </w:numPr>
      <w:spacing w:before="240" w:after="240"/>
      <w:ind w:right="680"/>
      <w:outlineLvl w:val="1"/>
    </w:pPr>
    <w:rPr>
      <w:rFonts w:ascii="Times New Roman Bold" w:eastAsiaTheme="majorEastAsia" w:hAnsi="Times New Roman Bold" w:cstheme="majorBidi"/>
      <w:b/>
      <w:color w:val="4E81BD"/>
      <w:sz w:val="24"/>
      <w:szCs w:val="26"/>
    </w:rPr>
  </w:style>
  <w:style w:type="paragraph" w:styleId="Heading3">
    <w:name w:val="heading 3"/>
    <w:basedOn w:val="Normal"/>
    <w:next w:val="Para0"/>
    <w:link w:val="Heading3Char"/>
    <w:uiPriority w:val="1"/>
    <w:qFormat/>
    <w:rsid w:val="00E82D9D"/>
    <w:pPr>
      <w:keepNext/>
      <w:keepLines/>
      <w:numPr>
        <w:ilvl w:val="2"/>
        <w:numId w:val="22"/>
      </w:numPr>
      <w:spacing w:before="240" w:after="120"/>
      <w:ind w:right="680"/>
      <w:outlineLvl w:val="2"/>
    </w:pPr>
    <w:rPr>
      <w:rFonts w:eastAsiaTheme="majorEastAsia" w:cstheme="majorBidi"/>
      <w:b/>
      <w:i/>
      <w:sz w:val="24"/>
      <w:szCs w:val="24"/>
    </w:rPr>
  </w:style>
  <w:style w:type="paragraph" w:styleId="Heading4">
    <w:name w:val="heading 4"/>
    <w:basedOn w:val="Normal"/>
    <w:next w:val="Para0"/>
    <w:link w:val="Heading4Char"/>
    <w:uiPriority w:val="1"/>
    <w:qFormat/>
    <w:rsid w:val="0046201C"/>
    <w:pPr>
      <w:keepNext/>
      <w:keepLines/>
      <w:numPr>
        <w:ilvl w:val="3"/>
        <w:numId w:val="22"/>
      </w:numPr>
      <w:spacing w:before="240" w:after="120"/>
      <w:ind w:right="680"/>
      <w:outlineLvl w:val="3"/>
    </w:pPr>
    <w:rPr>
      <w:rFonts w:eastAsiaTheme="majorEastAsia" w:cstheme="majorBidi"/>
      <w:i/>
      <w:iCs/>
      <w:color w:val="000000" w:themeColor="text1"/>
      <w:sz w:val="24"/>
    </w:rPr>
  </w:style>
  <w:style w:type="paragraph" w:styleId="Heading5">
    <w:name w:val="heading 5"/>
    <w:basedOn w:val="Normal"/>
    <w:next w:val="Para0"/>
    <w:link w:val="Heading5Char"/>
    <w:uiPriority w:val="1"/>
    <w:qFormat/>
    <w:rsid w:val="008E2F6C"/>
    <w:pPr>
      <w:keepNext/>
      <w:keepLines/>
      <w:numPr>
        <w:ilvl w:val="4"/>
        <w:numId w:val="22"/>
      </w:numPr>
      <w:spacing w:before="240" w:after="120"/>
      <w:ind w:right="680"/>
      <w:outlineLvl w:val="4"/>
    </w:pPr>
    <w:rPr>
      <w:rFonts w:eastAsiaTheme="majorEastAsia" w:cstheme="majorBidi"/>
      <w:color w:val="000000" w:themeColor="text1"/>
      <w:sz w:val="24"/>
    </w:rPr>
  </w:style>
  <w:style w:type="paragraph" w:styleId="Heading6">
    <w:name w:val="heading 6"/>
    <w:aliases w:val="Part"/>
    <w:basedOn w:val="Normal"/>
    <w:next w:val="Heading1"/>
    <w:link w:val="Heading6Char"/>
    <w:uiPriority w:val="2"/>
    <w:qFormat/>
    <w:rsid w:val="00A670A8"/>
    <w:pPr>
      <w:keepNext/>
      <w:pageBreakBefore/>
      <w:numPr>
        <w:ilvl w:val="5"/>
        <w:numId w:val="22"/>
      </w:numPr>
      <w:spacing w:before="940" w:after="720"/>
      <w:jc w:val="center"/>
      <w:outlineLvl w:val="5"/>
    </w:pPr>
    <w:rPr>
      <w:rFonts w:eastAsiaTheme="majorEastAsia" w:cstheme="majorBidi"/>
      <w:b/>
      <w:color w:val="4E81BD"/>
      <w:sz w:val="28"/>
    </w:rPr>
  </w:style>
  <w:style w:type="paragraph" w:styleId="Heading7">
    <w:name w:val="heading 7"/>
    <w:aliases w:val="Doc AnnX"/>
    <w:basedOn w:val="Normal"/>
    <w:next w:val="Para0"/>
    <w:link w:val="Heading7Char"/>
    <w:uiPriority w:val="11"/>
    <w:qFormat/>
    <w:rsid w:val="00A670A8"/>
    <w:pPr>
      <w:keepNext/>
      <w:pageBreakBefore/>
      <w:numPr>
        <w:ilvl w:val="6"/>
        <w:numId w:val="22"/>
      </w:numPr>
      <w:spacing w:before="940" w:after="720"/>
      <w:jc w:val="center"/>
      <w:outlineLvl w:val="6"/>
    </w:pPr>
    <w:rPr>
      <w:rFonts w:eastAsiaTheme="majorEastAsia" w:cstheme="majorBidi"/>
      <w:b/>
      <w:iCs/>
      <w:color w:val="4E81BD"/>
      <w:sz w:val="28"/>
    </w:rPr>
  </w:style>
  <w:style w:type="paragraph" w:styleId="Heading8">
    <w:name w:val="heading 8"/>
    <w:aliases w:val="Part AnnX"/>
    <w:basedOn w:val="Normal"/>
    <w:next w:val="Para0"/>
    <w:link w:val="Heading8Char"/>
    <w:uiPriority w:val="9"/>
    <w:rsid w:val="00EB6949"/>
    <w:pPr>
      <w:keepNext/>
      <w:pageBreakBefore/>
      <w:numPr>
        <w:ilvl w:val="7"/>
        <w:numId w:val="22"/>
      </w:numPr>
      <w:spacing w:before="1200" w:after="720"/>
      <w:jc w:val="center"/>
      <w:outlineLvl w:val="7"/>
    </w:pPr>
    <w:rPr>
      <w:rFonts w:eastAsiaTheme="majorEastAsia" w:cstheme="majorBidi"/>
      <w:b/>
      <w:color w:val="4E81BD"/>
      <w:sz w:val="28"/>
      <w:szCs w:val="21"/>
    </w:rPr>
  </w:style>
  <w:style w:type="paragraph" w:styleId="Heading9">
    <w:name w:val="heading 9"/>
    <w:aliases w:val="Chap AnnX"/>
    <w:basedOn w:val="Normal"/>
    <w:next w:val="Para0"/>
    <w:link w:val="Heading9Char"/>
    <w:uiPriority w:val="14"/>
    <w:qFormat/>
    <w:rsid w:val="00A670A8"/>
    <w:pPr>
      <w:keepNext/>
      <w:pageBreakBefore/>
      <w:numPr>
        <w:ilvl w:val="8"/>
        <w:numId w:val="22"/>
      </w:numPr>
      <w:spacing w:before="940" w:after="720"/>
      <w:jc w:val="center"/>
      <w:outlineLvl w:val="8"/>
    </w:pPr>
    <w:rPr>
      <w:rFonts w:eastAsiaTheme="majorEastAsia" w:cstheme="majorBidi"/>
      <w:b/>
      <w:iCs/>
      <w:color w:val="4E81BD"/>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basedOn w:val="Normal"/>
    <w:link w:val="ParaChar"/>
    <w:uiPriority w:val="4"/>
    <w:qFormat/>
    <w:rsid w:val="00BF53D8"/>
    <w:pPr>
      <w:spacing w:before="120" w:after="120"/>
      <w:ind w:left="680" w:right="680"/>
    </w:pPr>
  </w:style>
  <w:style w:type="paragraph" w:styleId="Title">
    <w:name w:val="Title"/>
    <w:basedOn w:val="Normal"/>
    <w:next w:val="Para0"/>
    <w:link w:val="TitleChar"/>
    <w:qFormat/>
    <w:rsid w:val="00A670A8"/>
    <w:pPr>
      <w:keepNext/>
      <w:keepLines/>
      <w:pageBreakBefore/>
      <w:spacing w:before="940" w:after="720"/>
      <w:ind w:left="680" w:right="680"/>
      <w:jc w:val="center"/>
      <w:outlineLvl w:val="0"/>
    </w:pPr>
    <w:rPr>
      <w:rFonts w:eastAsiaTheme="majorEastAsia" w:cstheme="majorBidi"/>
      <w:i/>
      <w:color w:val="4E81BD"/>
      <w:kern w:val="28"/>
      <w:sz w:val="32"/>
      <w:szCs w:val="56"/>
    </w:rPr>
  </w:style>
  <w:style w:type="character" w:customStyle="1" w:styleId="ParaChar">
    <w:name w:val="Para Char"/>
    <w:basedOn w:val="DefaultParagraphFont"/>
    <w:link w:val="Para0"/>
    <w:uiPriority w:val="4"/>
    <w:rsid w:val="004A00A8"/>
    <w:rPr>
      <w:rFonts w:ascii="Times New Roman" w:hAnsi="Times New Roman"/>
    </w:rPr>
  </w:style>
  <w:style w:type="character" w:customStyle="1" w:styleId="TitleChar">
    <w:name w:val="Title Char"/>
    <w:basedOn w:val="DefaultParagraphFont"/>
    <w:link w:val="Title"/>
    <w:rsid w:val="00A670A8"/>
    <w:rPr>
      <w:rFonts w:ascii="Times New Roman" w:eastAsiaTheme="majorEastAsia" w:hAnsi="Times New Roman" w:cstheme="majorBidi"/>
      <w:i/>
      <w:color w:val="4E81BD"/>
      <w:kern w:val="28"/>
      <w:sz w:val="32"/>
      <w:szCs w:val="56"/>
    </w:rPr>
  </w:style>
  <w:style w:type="character" w:customStyle="1" w:styleId="Heading1Char">
    <w:name w:val="Heading 1 Char"/>
    <w:basedOn w:val="DefaultParagraphFont"/>
    <w:link w:val="Heading1"/>
    <w:uiPriority w:val="1"/>
    <w:rsid w:val="00A670A8"/>
    <w:rPr>
      <w:rFonts w:ascii="Times New Roman Bold" w:eastAsiaTheme="majorEastAsia" w:hAnsi="Times New Roman Bold" w:cstheme="majorBidi"/>
      <w:b/>
      <w:color w:val="4E81BD"/>
      <w:kern w:val="28"/>
      <w:sz w:val="28"/>
      <w:szCs w:val="32"/>
    </w:rPr>
  </w:style>
  <w:style w:type="character" w:customStyle="1" w:styleId="Heading2Char">
    <w:name w:val="Heading 2 Char"/>
    <w:basedOn w:val="DefaultParagraphFont"/>
    <w:link w:val="Heading2"/>
    <w:uiPriority w:val="1"/>
    <w:rsid w:val="004A00A8"/>
    <w:rPr>
      <w:rFonts w:ascii="Times New Roman Bold" w:eastAsiaTheme="majorEastAsia" w:hAnsi="Times New Roman Bold" w:cstheme="majorBidi"/>
      <w:b/>
      <w:color w:val="4E81BD"/>
      <w:sz w:val="24"/>
      <w:szCs w:val="26"/>
    </w:rPr>
  </w:style>
  <w:style w:type="character" w:customStyle="1" w:styleId="Heading3Char">
    <w:name w:val="Heading 3 Char"/>
    <w:basedOn w:val="DefaultParagraphFont"/>
    <w:link w:val="Heading3"/>
    <w:uiPriority w:val="1"/>
    <w:rsid w:val="004A00A8"/>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1"/>
    <w:rsid w:val="004A00A8"/>
    <w:rPr>
      <w:rFonts w:ascii="Times New Roman" w:eastAsiaTheme="majorEastAsia" w:hAnsi="Times New Roman" w:cstheme="majorBidi"/>
      <w:i/>
      <w:iCs/>
      <w:color w:val="000000" w:themeColor="text1"/>
      <w:sz w:val="24"/>
    </w:rPr>
  </w:style>
  <w:style w:type="character" w:customStyle="1" w:styleId="Heading5Char">
    <w:name w:val="Heading 5 Char"/>
    <w:basedOn w:val="DefaultParagraphFont"/>
    <w:link w:val="Heading5"/>
    <w:uiPriority w:val="1"/>
    <w:rsid w:val="004A00A8"/>
    <w:rPr>
      <w:rFonts w:ascii="Times New Roman" w:eastAsiaTheme="majorEastAsia" w:hAnsi="Times New Roman" w:cstheme="majorBidi"/>
      <w:color w:val="000000" w:themeColor="text1"/>
      <w:sz w:val="24"/>
    </w:rPr>
  </w:style>
  <w:style w:type="character" w:customStyle="1" w:styleId="Heading6Char">
    <w:name w:val="Heading 6 Char"/>
    <w:aliases w:val="Part Char"/>
    <w:basedOn w:val="DefaultParagraphFont"/>
    <w:link w:val="Heading6"/>
    <w:uiPriority w:val="1"/>
    <w:rsid w:val="00A670A8"/>
    <w:rPr>
      <w:rFonts w:ascii="Times New Roman" w:eastAsiaTheme="majorEastAsia" w:hAnsi="Times New Roman" w:cstheme="majorBidi"/>
      <w:b/>
      <w:color w:val="4E81BD"/>
      <w:sz w:val="28"/>
    </w:rPr>
  </w:style>
  <w:style w:type="character" w:customStyle="1" w:styleId="Heading7Char">
    <w:name w:val="Heading 7 Char"/>
    <w:aliases w:val="Doc AnnX Char"/>
    <w:basedOn w:val="DefaultParagraphFont"/>
    <w:link w:val="Heading7"/>
    <w:uiPriority w:val="12"/>
    <w:rsid w:val="00A670A8"/>
    <w:rPr>
      <w:rFonts w:ascii="Times New Roman" w:eastAsiaTheme="majorEastAsia" w:hAnsi="Times New Roman" w:cstheme="majorBidi"/>
      <w:b/>
      <w:iCs/>
      <w:color w:val="4E81BD"/>
      <w:sz w:val="28"/>
    </w:rPr>
  </w:style>
  <w:style w:type="character" w:customStyle="1" w:styleId="Heading8Char">
    <w:name w:val="Heading 8 Char"/>
    <w:aliases w:val="Part AnnX Char"/>
    <w:basedOn w:val="DefaultParagraphFont"/>
    <w:link w:val="Heading8"/>
    <w:uiPriority w:val="9"/>
    <w:rsid w:val="00EB6949"/>
    <w:rPr>
      <w:rFonts w:ascii="Times New Roman" w:eastAsiaTheme="majorEastAsia" w:hAnsi="Times New Roman" w:cstheme="majorBidi"/>
      <w:b/>
      <w:color w:val="4E81BD"/>
      <w:sz w:val="28"/>
      <w:szCs w:val="21"/>
    </w:rPr>
  </w:style>
  <w:style w:type="character" w:customStyle="1" w:styleId="Heading9Char">
    <w:name w:val="Heading 9 Char"/>
    <w:aliases w:val="Chap AnnX Char"/>
    <w:basedOn w:val="DefaultParagraphFont"/>
    <w:link w:val="Heading9"/>
    <w:uiPriority w:val="14"/>
    <w:rsid w:val="00A670A8"/>
    <w:rPr>
      <w:rFonts w:ascii="Times New Roman" w:eastAsiaTheme="majorEastAsia" w:hAnsi="Times New Roman" w:cstheme="majorBidi"/>
      <w:b/>
      <w:iCs/>
      <w:color w:val="4E81BD"/>
      <w:sz w:val="28"/>
      <w:szCs w:val="21"/>
    </w:rPr>
  </w:style>
  <w:style w:type="paragraph" w:customStyle="1" w:styleId="Title2">
    <w:name w:val="Title 2"/>
    <w:basedOn w:val="Heading2"/>
    <w:next w:val="Para0"/>
    <w:qFormat/>
    <w:rsid w:val="00444C08"/>
    <w:pPr>
      <w:numPr>
        <w:ilvl w:val="0"/>
        <w:numId w:val="0"/>
      </w:numPr>
    </w:pPr>
  </w:style>
  <w:style w:type="paragraph" w:customStyle="1" w:styleId="Title3">
    <w:name w:val="Title 3"/>
    <w:basedOn w:val="Heading3"/>
    <w:next w:val="Para0"/>
    <w:qFormat/>
    <w:rsid w:val="00444C08"/>
    <w:pPr>
      <w:numPr>
        <w:ilvl w:val="0"/>
        <w:numId w:val="0"/>
      </w:numPr>
      <w:ind w:left="680"/>
    </w:pPr>
  </w:style>
  <w:style w:type="paragraph" w:customStyle="1" w:styleId="Abstract">
    <w:name w:val="Abstract"/>
    <w:basedOn w:val="Para0"/>
    <w:uiPriority w:val="2"/>
    <w:qFormat/>
    <w:rsid w:val="00F92475"/>
    <w:pPr>
      <w:pBdr>
        <w:top w:val="single" w:sz="4" w:space="12" w:color="auto"/>
        <w:left w:val="single" w:sz="4" w:space="12" w:color="auto"/>
        <w:bottom w:val="single" w:sz="4" w:space="12" w:color="auto"/>
        <w:right w:val="single" w:sz="4" w:space="12" w:color="auto"/>
      </w:pBdr>
    </w:pPr>
    <w:rPr>
      <w:i/>
    </w:rPr>
  </w:style>
  <w:style w:type="paragraph" w:customStyle="1" w:styleId="Para">
    <w:name w:val="Para #"/>
    <w:basedOn w:val="Normal"/>
    <w:link w:val="ParaChar0"/>
    <w:uiPriority w:val="4"/>
    <w:qFormat/>
    <w:rsid w:val="004230BA"/>
    <w:pPr>
      <w:numPr>
        <w:numId w:val="11"/>
      </w:numPr>
      <w:spacing w:before="120" w:after="120"/>
      <w:ind w:right="680"/>
    </w:pPr>
  </w:style>
  <w:style w:type="paragraph" w:customStyle="1" w:styleId="NumberedList">
    <w:name w:val="Numbered List"/>
    <w:basedOn w:val="ListParagraph"/>
    <w:uiPriority w:val="5"/>
    <w:qFormat/>
    <w:rsid w:val="004230BA"/>
    <w:pPr>
      <w:numPr>
        <w:numId w:val="12"/>
      </w:numPr>
      <w:spacing w:after="120"/>
      <w:ind w:right="680"/>
      <w:contextualSpacing w:val="0"/>
    </w:pPr>
  </w:style>
  <w:style w:type="paragraph" w:customStyle="1" w:styleId="BulletedList">
    <w:name w:val="Bulleted List"/>
    <w:basedOn w:val="ListParagraph"/>
    <w:uiPriority w:val="6"/>
    <w:qFormat/>
    <w:rsid w:val="00A92F3D"/>
    <w:pPr>
      <w:numPr>
        <w:numId w:val="24"/>
      </w:numPr>
      <w:tabs>
        <w:tab w:val="clear" w:pos="340"/>
        <w:tab w:val="num" w:pos="360"/>
      </w:tabs>
      <w:spacing w:after="120"/>
      <w:ind w:right="680"/>
      <w:contextualSpacing w:val="0"/>
    </w:p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basedOn w:val="Normal"/>
    <w:next w:val="Para0"/>
    <w:link w:val="CaptionSubtitleChar"/>
    <w:qFormat/>
    <w:rsid w:val="002727E3"/>
    <w:pPr>
      <w:keepNext/>
      <w:spacing w:after="120"/>
      <w:ind w:left="680" w:right="680"/>
      <w:contextualSpacing/>
      <w:jc w:val="center"/>
    </w:pPr>
    <w:rPr>
      <w:sz w:val="18"/>
    </w:rPr>
  </w:style>
  <w:style w:type="paragraph" w:styleId="Caption">
    <w:name w:val="caption"/>
    <w:basedOn w:val="Normal"/>
    <w:next w:val="CaptionSubtitle"/>
    <w:uiPriority w:val="35"/>
    <w:unhideWhenUsed/>
    <w:qFormat/>
    <w:rsid w:val="004348F1"/>
    <w:pPr>
      <w:keepNext/>
      <w:spacing w:before="240" w:after="240"/>
      <w:ind w:left="680" w:right="680"/>
      <w:jc w:val="center"/>
    </w:pPr>
    <w:rPr>
      <w:b/>
      <w:iCs/>
      <w:sz w:val="20"/>
      <w:szCs w:val="18"/>
    </w:rPr>
  </w:style>
  <w:style w:type="paragraph" w:customStyle="1" w:styleId="BoxHeading">
    <w:name w:val="Box Heading"/>
    <w:basedOn w:val="Normal"/>
    <w:next w:val="Para0"/>
    <w:uiPriority w:val="8"/>
    <w:qFormat/>
    <w:rsid w:val="004348F1"/>
    <w:pPr>
      <w:keepNext/>
      <w:spacing w:before="240" w:after="120"/>
      <w:ind w:left="680" w:right="680"/>
      <w:jc w:val="left"/>
    </w:pPr>
    <w:rPr>
      <w:b/>
      <w:sz w:val="20"/>
    </w:rPr>
  </w:style>
  <w:style w:type="paragraph" w:customStyle="1" w:styleId="Sourcenotes">
    <w:name w:val="Source &amp; notes"/>
    <w:basedOn w:val="Normal"/>
    <w:qFormat/>
    <w:rsid w:val="00F33C07"/>
    <w:pPr>
      <w:keepLines/>
      <w:spacing w:before="120" w:after="240"/>
      <w:ind w:left="680" w:right="680"/>
      <w:contextualSpacing/>
    </w:pPr>
    <w:rPr>
      <w:sz w:val="18"/>
    </w:rPr>
  </w:style>
  <w:style w:type="paragraph" w:customStyle="1" w:styleId="TableCell">
    <w:name w:val="Table Cell"/>
    <w:basedOn w:val="Normal"/>
    <w:uiPriority w:val="9"/>
    <w:qFormat/>
    <w:rsid w:val="00E35131"/>
    <w:pPr>
      <w:keepNext/>
      <w:keepLines/>
      <w:spacing w:before="20" w:after="20"/>
      <w:jc w:val="right"/>
    </w:pPr>
    <w:rPr>
      <w:rFonts w:ascii="Arial Narrow" w:hAnsi="Arial Narrow"/>
      <w:color w:val="000000" w:themeColor="text1"/>
      <w:sz w:val="17"/>
    </w:rPr>
  </w:style>
  <w:style w:type="paragraph" w:customStyle="1" w:styleId="TableRow">
    <w:name w:val="Table Row"/>
    <w:basedOn w:val="TableCell"/>
    <w:qFormat/>
    <w:rsid w:val="00FB6DA4"/>
    <w:pPr>
      <w:jc w:val="left"/>
    </w:pPr>
  </w:style>
  <w:style w:type="paragraph" w:customStyle="1" w:styleId="TableColumn">
    <w:name w:val="Table Column"/>
    <w:basedOn w:val="TableRow"/>
    <w:qFormat/>
    <w:rsid w:val="00FB6DA4"/>
    <w:pPr>
      <w:jc w:val="center"/>
    </w:pPr>
  </w:style>
  <w:style w:type="paragraph" w:customStyle="1" w:styleId="Quotationshort">
    <w:name w:val="Quotation (short)"/>
    <w:basedOn w:val="Normal"/>
    <w:link w:val="QuotationshortChar"/>
    <w:uiPriority w:val="11"/>
    <w:qFormat/>
    <w:rsid w:val="00326CAE"/>
    <w:pPr>
      <w:spacing w:after="120"/>
    </w:pPr>
    <w:rPr>
      <w:i/>
    </w:rPr>
  </w:style>
  <w:style w:type="paragraph" w:styleId="Quote">
    <w:name w:val="Quote"/>
    <w:aliases w:val="Quotation (long)"/>
    <w:basedOn w:val="Normal"/>
    <w:link w:val="QuoteChar"/>
    <w:uiPriority w:val="11"/>
    <w:qFormat/>
    <w:rsid w:val="00567146"/>
    <w:pPr>
      <w:spacing w:after="120"/>
      <w:ind w:left="1021" w:right="1021"/>
    </w:pPr>
    <w:rPr>
      <w:i/>
      <w:iCs/>
      <w:color w:val="404040" w:themeColor="text1" w:themeTint="BF"/>
    </w:rPr>
  </w:style>
  <w:style w:type="character" w:customStyle="1" w:styleId="QuoteChar">
    <w:name w:val="Quote Char"/>
    <w:aliases w:val="Quotation (long) Char"/>
    <w:basedOn w:val="DefaultParagraphFont"/>
    <w:link w:val="Quote"/>
    <w:uiPriority w:val="11"/>
    <w:rsid w:val="004A00A8"/>
    <w:rPr>
      <w:rFonts w:ascii="Times New Roman" w:hAnsi="Times New Roman"/>
      <w:i/>
      <w:iCs/>
      <w:color w:val="404040" w:themeColor="text1" w:themeTint="BF"/>
    </w:rPr>
  </w:style>
  <w:style w:type="paragraph" w:customStyle="1" w:styleId="AnnexH2">
    <w:name w:val="Annex H2"/>
    <w:basedOn w:val="Normal"/>
    <w:next w:val="Para0"/>
    <w:uiPriority w:val="15"/>
    <w:qFormat/>
    <w:rsid w:val="00444C08"/>
    <w:pPr>
      <w:keepNext/>
      <w:spacing w:before="240" w:after="240"/>
      <w:jc w:val="left"/>
      <w:outlineLvl w:val="1"/>
    </w:pPr>
    <w:rPr>
      <w:b/>
      <w:color w:val="4E81BD"/>
      <w:sz w:val="24"/>
    </w:rPr>
  </w:style>
  <w:style w:type="paragraph" w:customStyle="1" w:styleId="AnnexH3">
    <w:name w:val="Annex H3"/>
    <w:basedOn w:val="Normal"/>
    <w:next w:val="Para0"/>
    <w:uiPriority w:val="15"/>
    <w:qFormat/>
    <w:rsid w:val="00444C08"/>
    <w:pPr>
      <w:keepNext/>
      <w:keepLines/>
      <w:spacing w:before="240" w:after="120"/>
      <w:ind w:left="680" w:right="680"/>
      <w:jc w:val="left"/>
      <w:outlineLvl w:val="2"/>
    </w:pPr>
    <w:rPr>
      <w:b/>
      <w:i/>
      <w:sz w:val="24"/>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B67859"/>
    <w:pPr>
      <w:spacing w:after="120"/>
      <w:ind w:left="284" w:hanging="284"/>
      <w:jc w:val="left"/>
    </w:pPr>
  </w:style>
  <w:style w:type="paragraph" w:customStyle="1" w:styleId="Break">
    <w:name w:val="Break"/>
    <w:basedOn w:val="Normal"/>
    <w:next w:val="Time"/>
    <w:rsid w:val="00CA2765"/>
    <w:pPr>
      <w:pBdr>
        <w:top w:val="single" w:sz="4" w:space="4" w:color="auto"/>
        <w:bottom w:val="single" w:sz="4" w:space="4" w:color="auto"/>
      </w:pBdr>
      <w:shd w:val="pct5" w:color="auto" w:fill="auto"/>
      <w:spacing w:after="0"/>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aliases w:val="1_G"/>
    <w:basedOn w:val="DefaultParagraphFont"/>
    <w:unhideWhenUsed/>
    <w:rsid w:val="0052749E"/>
    <w:rPr>
      <w:rFonts w:ascii="Times New Roman" w:hAnsi="Times New Roman"/>
      <w:sz w:val="22"/>
      <w:vertAlign w:val="superscript"/>
    </w:rPr>
  </w:style>
  <w:style w:type="paragraph" w:styleId="FootnoteText">
    <w:name w:val="footnote text"/>
    <w:basedOn w:val="Normal"/>
    <w:link w:val="FootnoteTextChar"/>
    <w:uiPriority w:val="99"/>
    <w:unhideWhenUsed/>
    <w:rsid w:val="00381AB2"/>
    <w:pPr>
      <w:spacing w:after="120"/>
      <w:ind w:left="680" w:right="680"/>
    </w:pPr>
    <w:rPr>
      <w:sz w:val="20"/>
      <w:szCs w:val="20"/>
    </w:rPr>
  </w:style>
  <w:style w:type="character" w:customStyle="1" w:styleId="FootnoteTextChar">
    <w:name w:val="Footnote Text Char"/>
    <w:basedOn w:val="DefaultParagraphFont"/>
    <w:link w:val="FootnoteText"/>
    <w:uiPriority w:val="99"/>
    <w:rsid w:val="00381AB2"/>
    <w:rPr>
      <w:rFonts w:ascii="Times New Roman" w:hAnsi="Times New Roman"/>
      <w:sz w:val="20"/>
      <w:szCs w:val="20"/>
    </w:rPr>
  </w:style>
  <w:style w:type="paragraph" w:styleId="EndnoteText">
    <w:name w:val="endnote text"/>
    <w:aliases w:val="2_G"/>
    <w:basedOn w:val="FootnoteText"/>
    <w:link w:val="EndnoteTextChar"/>
    <w:unhideWhenUsed/>
    <w:rsid w:val="0052749E"/>
  </w:style>
  <w:style w:type="character" w:customStyle="1" w:styleId="EndnoteTextChar">
    <w:name w:val="Endnote Text Char"/>
    <w:aliases w:val="2_G Char"/>
    <w:basedOn w:val="DefaultParagraphFont"/>
    <w:link w:val="EndnoteText"/>
    <w:rsid w:val="0052749E"/>
    <w:rPr>
      <w:rFonts w:ascii="Times New Roman" w:hAnsi="Times New Roman"/>
      <w:sz w:val="20"/>
      <w:szCs w:val="20"/>
    </w:rPr>
  </w:style>
  <w:style w:type="paragraph" w:customStyle="1" w:styleId="Figure">
    <w:name w:val="Figure"/>
    <w:basedOn w:val="Normal"/>
    <w:rsid w:val="00F71E0B"/>
    <w:pPr>
      <w:spacing w:after="0"/>
      <w:jc w:val="center"/>
    </w:pPr>
  </w:style>
  <w:style w:type="paragraph" w:styleId="Footer">
    <w:name w:val="footer"/>
    <w:basedOn w:val="Normal"/>
    <w:link w:val="FooterChar"/>
    <w:uiPriority w:val="99"/>
    <w:rsid w:val="002F605B"/>
    <w:pPr>
      <w:tabs>
        <w:tab w:val="center" w:pos="4513"/>
        <w:tab w:val="right" w:pos="9026"/>
      </w:tabs>
      <w:spacing w:after="0"/>
      <w:jc w:val="center"/>
    </w:pPr>
    <w:rPr>
      <w:caps/>
      <w:sz w:val="16"/>
    </w:rPr>
  </w:style>
  <w:style w:type="character" w:customStyle="1" w:styleId="FooterChar">
    <w:name w:val="Footer Char"/>
    <w:basedOn w:val="DefaultParagraphFont"/>
    <w:link w:val="Footer"/>
    <w:uiPriority w:val="99"/>
    <w:rsid w:val="0056606B"/>
    <w:rPr>
      <w:rFonts w:ascii="Times New Roman" w:hAnsi="Times New Roman"/>
      <w:caps/>
      <w:sz w:val="16"/>
    </w:rPr>
  </w:style>
  <w:style w:type="paragraph" w:customStyle="1" w:styleId="Para1">
    <w:name w:val="Para #.#"/>
    <w:basedOn w:val="Para"/>
    <w:rsid w:val="00EC45EF"/>
    <w:pPr>
      <w:tabs>
        <w:tab w:val="left" w:pos="1361"/>
      </w:tabs>
    </w:pPr>
  </w:style>
  <w:style w:type="paragraph" w:customStyle="1" w:styleId="CoverNormal">
    <w:name w:val="CoverNormal"/>
    <w:basedOn w:val="Normal"/>
    <w:link w:val="CoverNormalChar"/>
    <w:rsid w:val="00EC45EF"/>
    <w:pPr>
      <w:spacing w:after="0"/>
      <w:jc w:val="left"/>
    </w:p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C45EF"/>
    <w:rPr>
      <w:rFonts w:ascii="Times New Roman Bold" w:hAnsi="Times New Roman Bold"/>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A06737"/>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381AB2"/>
    <w:pPr>
      <w:spacing w:after="0"/>
      <w:jc w:val="right"/>
    </w:pPr>
    <w:rPr>
      <w:sz w:val="16"/>
    </w:rPr>
  </w:style>
  <w:style w:type="character" w:styleId="FootnoteReference">
    <w:name w:val="footnote reference"/>
    <w:aliases w:val="Ref,de nota al pie,ftref,(NECG) Footnote Reference,4_G,SUPERS,SUPERS1,SUPERS2,SUPERS3,16 Point,Superscript 6 Point,Footnote Reference Number,Footnotes refss,footnote ref,Footnote symbol,Footnote reference number,Times 10 Point"/>
    <w:basedOn w:val="DefaultParagraphFont"/>
    <w:uiPriority w:val="99"/>
    <w:unhideWhenUsed/>
    <w:rsid w:val="00381AB2"/>
    <w:rPr>
      <w:rFonts w:ascii="Times New Roman" w:hAnsi="Times New Roman"/>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spacing w:after="0"/>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spacing w:after="0"/>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4622CF"/>
    <w:rPr>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after="0"/>
      <w:ind w:left="680" w:right="680"/>
      <w:contextualSpacing/>
    </w:pPr>
    <w:rPr>
      <w:sz w:val="18"/>
    </w:rPr>
  </w:style>
  <w:style w:type="character" w:styleId="PageNumber">
    <w:name w:val="page number"/>
    <w:basedOn w:val="DefaultParagraphFont"/>
    <w:uiPriority w:val="99"/>
    <w:rsid w:val="003E0362"/>
    <w:rPr>
      <w:rFonts w:ascii="Times New Roman" w:hAnsi="Times New Roman"/>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jc w:val="left"/>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2C1DD6"/>
    <w:rPr>
      <w:rFonts w:ascii="Times New Roman" w:hAnsi="Times New Roman"/>
      <w:sz w:val="18"/>
    </w:rPr>
  </w:style>
  <w:style w:type="paragraph" w:customStyle="1" w:styleId="StatLinkLogo">
    <w:name w:val="StatLink Logo"/>
    <w:basedOn w:val="Para0"/>
    <w:next w:val="Para0"/>
    <w:rsid w:val="00B66B2E"/>
    <w:pPr>
      <w:spacing w:after="240"/>
      <w:jc w:val="right"/>
    </w:pPr>
    <w:rPr>
      <w:rFonts w:ascii="StatLink" w:hAnsi="StatLink"/>
      <w:sz w:val="18"/>
    </w:rPr>
  </w:style>
  <w:style w:type="paragraph" w:styleId="TableofFigures">
    <w:name w:val="table of figures"/>
    <w:basedOn w:val="Normal"/>
    <w:next w:val="Normal"/>
    <w:uiPriority w:val="99"/>
    <w:unhideWhenUsed/>
    <w:rsid w:val="003A3A69"/>
    <w:pPr>
      <w:tabs>
        <w:tab w:val="right" w:leader="dot" w:pos="9072"/>
      </w:tabs>
      <w:spacing w:after="0"/>
      <w:ind w:left="442" w:right="510" w:hanging="442"/>
      <w:jc w:val="left"/>
    </w:pPr>
  </w:style>
  <w:style w:type="paragraph" w:styleId="TOC1">
    <w:name w:val="toc 1"/>
    <w:basedOn w:val="Normal"/>
    <w:next w:val="Normal"/>
    <w:uiPriority w:val="39"/>
    <w:unhideWhenUsed/>
    <w:rsid w:val="0025481A"/>
    <w:pPr>
      <w:tabs>
        <w:tab w:val="right" w:leader="dot" w:pos="9072"/>
      </w:tabs>
      <w:spacing w:before="120" w:after="120"/>
      <w:ind w:right="510"/>
      <w:jc w:val="left"/>
    </w:pPr>
    <w:rPr>
      <w:b/>
    </w:rPr>
  </w:style>
  <w:style w:type="paragraph" w:styleId="TOC2">
    <w:name w:val="toc 2"/>
    <w:basedOn w:val="Normal"/>
    <w:next w:val="Normal"/>
    <w:uiPriority w:val="39"/>
    <w:unhideWhenUsed/>
    <w:rsid w:val="002F3A06"/>
    <w:pPr>
      <w:tabs>
        <w:tab w:val="right" w:leader="dot" w:pos="9072"/>
      </w:tabs>
      <w:spacing w:after="0"/>
      <w:ind w:left="198" w:right="510"/>
      <w:jc w:val="left"/>
    </w:pPr>
  </w:style>
  <w:style w:type="paragraph" w:styleId="TOC3">
    <w:name w:val="toc 3"/>
    <w:basedOn w:val="Normal"/>
    <w:next w:val="Normal"/>
    <w:autoRedefine/>
    <w:uiPriority w:val="39"/>
    <w:unhideWhenUsed/>
    <w:rsid w:val="002F3A06"/>
    <w:pPr>
      <w:tabs>
        <w:tab w:val="right" w:leader="dot" w:pos="9072"/>
      </w:tabs>
      <w:spacing w:after="0"/>
      <w:ind w:left="397" w:right="510"/>
      <w:jc w:val="left"/>
    </w:pPr>
  </w:style>
  <w:style w:type="paragraph" w:styleId="TOC4">
    <w:name w:val="toc 4"/>
    <w:basedOn w:val="Normal"/>
    <w:next w:val="Normal"/>
    <w:uiPriority w:val="39"/>
    <w:semiHidden/>
    <w:unhideWhenUsed/>
    <w:rsid w:val="0025481A"/>
    <w:pPr>
      <w:tabs>
        <w:tab w:val="right" w:leader="dot" w:pos="9072"/>
      </w:tabs>
      <w:spacing w:after="0"/>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basedOn w:val="Heading1"/>
    <w:next w:val="Normal"/>
    <w:uiPriority w:val="39"/>
    <w:unhideWhenUsed/>
    <w:rsid w:val="00CE6E7E"/>
    <w:pPr>
      <w:numPr>
        <w:numId w:val="0"/>
      </w:numPr>
      <w:ind w:left="680" w:right="680"/>
      <w:outlineLvl w:val="9"/>
    </w:pPr>
    <w:rPr>
      <w:rFonts w:ascii="Times New Roman" w:hAnsi="Times New Roman"/>
      <w:b w:val="0"/>
      <w:i/>
      <w:kern w:val="0"/>
      <w:sz w:val="32"/>
    </w:rPr>
  </w:style>
  <w:style w:type="paragraph" w:styleId="Subtitle">
    <w:name w:val="Subtitle"/>
    <w:basedOn w:val="Normal"/>
    <w:next w:val="Normal"/>
    <w:link w:val="SubtitleChar"/>
    <w:uiPriority w:val="11"/>
    <w:rsid w:val="0092327D"/>
    <w:pPr>
      <w:numPr>
        <w:ilvl w:val="1"/>
      </w:numPr>
      <w:spacing w:after="240"/>
      <w:jc w:val="center"/>
    </w:pPr>
    <w:rPr>
      <w:rFonts w:ascii="Times New Roman Bold" w:eastAsiaTheme="minorEastAsia" w:hAnsi="Times New Roman Bold"/>
      <w:b/>
      <w:color w:val="000000" w:themeColor="text1"/>
      <w:sz w:val="24"/>
    </w:rPr>
  </w:style>
  <w:style w:type="character" w:customStyle="1" w:styleId="SubtitleChar">
    <w:name w:val="Subtitle Char"/>
    <w:basedOn w:val="DefaultParagraphFont"/>
    <w:link w:val="Subtitle"/>
    <w:uiPriority w:val="11"/>
    <w:rsid w:val="0092327D"/>
    <w:rPr>
      <w:rFonts w:ascii="Times New Roman Bold" w:eastAsiaTheme="minorEastAsia" w:hAnsi="Times New Roman Bold"/>
      <w:b/>
      <w:color w:val="000000" w:themeColor="tex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56606B"/>
    <w:rPr>
      <w:rFonts w:ascii="Times New Roman" w:hAnsi="Times New Roman"/>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C86C7F"/>
    <w:rPr>
      <w:color w:val="0000FF" w:themeColor="hyperlink"/>
      <w:u w:val="single"/>
    </w:rPr>
  </w:style>
  <w:style w:type="paragraph" w:customStyle="1" w:styleId="Boxtext">
    <w:name w:val="Box text"/>
    <w:basedOn w:val="Para0"/>
    <w:rsid w:val="006A033E"/>
    <w:pPr>
      <w:keepNext/>
    </w:pPr>
    <w:rPr>
      <w:sz w:val="20"/>
    </w:rPr>
  </w:style>
  <w:style w:type="numbering" w:customStyle="1" w:styleId="NumericNote">
    <w:name w:val="Numeric Note"/>
    <w:basedOn w:val="NoList"/>
    <w:rsid w:val="00EF138F"/>
    <w:pPr>
      <w:numPr>
        <w:numId w:val="25"/>
      </w:numPr>
    </w:pPr>
  </w:style>
  <w:style w:type="character" w:customStyle="1" w:styleId="ParaChar0">
    <w:name w:val="Para # Char"/>
    <w:basedOn w:val="DefaultParagraphFont"/>
    <w:link w:val="Para"/>
    <w:uiPriority w:val="4"/>
    <w:rsid w:val="00EF138F"/>
    <w:rPr>
      <w:rFonts w:ascii="Times New Roman" w:hAnsi="Times New Roman"/>
    </w:rPr>
  </w:style>
  <w:style w:type="table" w:customStyle="1" w:styleId="OECD">
    <w:name w:val="OECD"/>
    <w:basedOn w:val="LightShading-Accent1"/>
    <w:uiPriority w:val="99"/>
    <w:rsid w:val="001D65D2"/>
    <w:rPr>
      <w:rFonts w:ascii="Georgia" w:eastAsia="Times New Roman" w:hAnsi="Georgia" w:cs="Times New Roman"/>
      <w:sz w:val="20"/>
      <w:szCs w:val="20"/>
      <w:lang w:val="en-US" w:eastAsia="en-GB"/>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1D65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5A0F"/>
    <w:rPr>
      <w:sz w:val="16"/>
      <w:szCs w:val="16"/>
    </w:rPr>
  </w:style>
  <w:style w:type="paragraph" w:styleId="CommentText">
    <w:name w:val="annotation text"/>
    <w:basedOn w:val="Normal"/>
    <w:link w:val="CommentTextChar"/>
    <w:uiPriority w:val="99"/>
    <w:unhideWhenUsed/>
    <w:rsid w:val="00645A0F"/>
    <w:rPr>
      <w:sz w:val="20"/>
      <w:szCs w:val="20"/>
    </w:rPr>
  </w:style>
  <w:style w:type="character" w:customStyle="1" w:styleId="CommentTextChar">
    <w:name w:val="Comment Text Char"/>
    <w:basedOn w:val="DefaultParagraphFont"/>
    <w:link w:val="CommentText"/>
    <w:uiPriority w:val="99"/>
    <w:rsid w:val="00645A0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5A0F"/>
    <w:rPr>
      <w:b/>
      <w:bCs/>
    </w:rPr>
  </w:style>
  <w:style w:type="character" w:customStyle="1" w:styleId="CommentSubjectChar">
    <w:name w:val="Comment Subject Char"/>
    <w:basedOn w:val="CommentTextChar"/>
    <w:link w:val="CommentSubject"/>
    <w:uiPriority w:val="99"/>
    <w:semiHidden/>
    <w:rsid w:val="00645A0F"/>
    <w:rPr>
      <w:rFonts w:ascii="Times New Roman" w:hAnsi="Times New Roman"/>
      <w:b/>
      <w:bCs/>
      <w:sz w:val="20"/>
      <w:szCs w:val="20"/>
    </w:rPr>
  </w:style>
  <w:style w:type="paragraph" w:styleId="BalloonText">
    <w:name w:val="Balloon Text"/>
    <w:basedOn w:val="Normal"/>
    <w:link w:val="BalloonTextChar"/>
    <w:uiPriority w:val="99"/>
    <w:semiHidden/>
    <w:unhideWhenUsed/>
    <w:rsid w:val="00645A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A0F"/>
    <w:rPr>
      <w:rFonts w:ascii="Segoe UI" w:hAnsi="Segoe UI" w:cs="Segoe UI"/>
      <w:sz w:val="18"/>
      <w:szCs w:val="18"/>
    </w:rPr>
  </w:style>
  <w:style w:type="character" w:customStyle="1" w:styleId="QuotationshortChar">
    <w:name w:val="Quotation (short) Char"/>
    <w:basedOn w:val="DefaultParagraphFont"/>
    <w:link w:val="Quotationshort"/>
    <w:uiPriority w:val="11"/>
    <w:rsid w:val="00C83503"/>
    <w:rPr>
      <w:rFonts w:ascii="Times New Roman" w:hAnsi="Times New Roman"/>
      <w:i/>
    </w:rPr>
  </w:style>
  <w:style w:type="paragraph" w:styleId="NoSpacing">
    <w:name w:val="No Spacing"/>
    <w:uiPriority w:val="1"/>
    <w:qFormat/>
    <w:rsid w:val="00C83503"/>
    <w:pPr>
      <w:spacing w:after="0" w:line="240" w:lineRule="auto"/>
    </w:pPr>
  </w:style>
  <w:style w:type="paragraph" w:styleId="Revision">
    <w:name w:val="Revision"/>
    <w:hidden/>
    <w:uiPriority w:val="99"/>
    <w:semiHidden/>
    <w:rsid w:val="00C83503"/>
    <w:pPr>
      <w:spacing w:after="0" w:line="240" w:lineRule="auto"/>
    </w:pPr>
    <w:rPr>
      <w:rFonts w:ascii="Georgia" w:hAnsi="Georgia" w:cs="Times New Roman"/>
      <w:sz w:val="20"/>
      <w:szCs w:val="20"/>
    </w:rPr>
  </w:style>
  <w:style w:type="paragraph" w:customStyle="1" w:styleId="Default">
    <w:name w:val="Default"/>
    <w:rsid w:val="00C83503"/>
    <w:pPr>
      <w:autoSpaceDE w:val="0"/>
      <w:autoSpaceDN w:val="0"/>
      <w:adjustRightInd w:val="0"/>
      <w:spacing w:after="0" w:line="240" w:lineRule="auto"/>
    </w:pPr>
    <w:rPr>
      <w:rFonts w:ascii="Cambria" w:hAnsi="Cambria" w:cs="Cambria"/>
      <w:color w:val="000000"/>
      <w:sz w:val="24"/>
      <w:szCs w:val="24"/>
    </w:rPr>
  </w:style>
  <w:style w:type="table" w:styleId="GridTable5Dark-Accent1">
    <w:name w:val="Grid Table 5 Dark Accent 1"/>
    <w:basedOn w:val="TableNormal"/>
    <w:uiPriority w:val="50"/>
    <w:rsid w:val="00C83503"/>
    <w:pPr>
      <w:spacing w:after="0" w:line="240" w:lineRule="auto"/>
    </w:pPr>
    <w:rPr>
      <w:rFonts w:ascii="Georgia" w:hAnsi="Georgia"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C83503"/>
    <w:pPr>
      <w:spacing w:after="0" w:line="240" w:lineRule="auto"/>
    </w:pPr>
    <w:rPr>
      <w:rFonts w:ascii="Georgia" w:hAnsi="Georgia"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aptionTitle">
    <w:name w:val="Caption Title"/>
    <w:basedOn w:val="CaptionSubtitle"/>
    <w:link w:val="CaptionTitleChar"/>
    <w:qFormat/>
    <w:rsid w:val="00C83503"/>
    <w:rPr>
      <w:rFonts w:cs="Times New Roman"/>
      <w:b/>
      <w:bCs/>
      <w:sz w:val="20"/>
      <w:szCs w:val="20"/>
    </w:rPr>
  </w:style>
  <w:style w:type="character" w:customStyle="1" w:styleId="CaptionSubtitleChar">
    <w:name w:val="Caption Subtitle Char"/>
    <w:basedOn w:val="DefaultParagraphFont"/>
    <w:link w:val="CaptionSubtitle"/>
    <w:rsid w:val="002727E3"/>
    <w:rPr>
      <w:rFonts w:ascii="Times New Roman" w:hAnsi="Times New Roman"/>
      <w:sz w:val="18"/>
    </w:rPr>
  </w:style>
  <w:style w:type="character" w:customStyle="1" w:styleId="CaptionTitleChar">
    <w:name w:val="Caption Title Char"/>
    <w:basedOn w:val="CaptionSubtitleChar"/>
    <w:link w:val="CaptionTitle"/>
    <w:rsid w:val="00C8350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C83503"/>
    <w:rPr>
      <w:color w:val="800080" w:themeColor="followedHyperlink"/>
      <w:u w:val="single"/>
    </w:rPr>
  </w:style>
  <w:style w:type="paragraph" w:styleId="NormalWeb">
    <w:name w:val="Normal (Web)"/>
    <w:basedOn w:val="Normal"/>
    <w:uiPriority w:val="99"/>
    <w:unhideWhenUsed/>
    <w:rsid w:val="003F7301"/>
    <w:pPr>
      <w:spacing w:before="100" w:beforeAutospacing="1" w:after="100" w:afterAutospacing="1"/>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3010">
      <w:bodyDiv w:val="1"/>
      <w:marLeft w:val="0"/>
      <w:marRight w:val="0"/>
      <w:marTop w:val="0"/>
      <w:marBottom w:val="0"/>
      <w:divBdr>
        <w:top w:val="none" w:sz="0" w:space="0" w:color="auto"/>
        <w:left w:val="none" w:sz="0" w:space="0" w:color="auto"/>
        <w:bottom w:val="none" w:sz="0" w:space="0" w:color="auto"/>
        <w:right w:val="none" w:sz="0" w:space="0" w:color="auto"/>
      </w:divBdr>
    </w:div>
    <w:div w:id="21514404">
      <w:bodyDiv w:val="1"/>
      <w:marLeft w:val="0"/>
      <w:marRight w:val="0"/>
      <w:marTop w:val="0"/>
      <w:marBottom w:val="0"/>
      <w:divBdr>
        <w:top w:val="none" w:sz="0" w:space="0" w:color="auto"/>
        <w:left w:val="none" w:sz="0" w:space="0" w:color="auto"/>
        <w:bottom w:val="none" w:sz="0" w:space="0" w:color="auto"/>
        <w:right w:val="none" w:sz="0" w:space="0" w:color="auto"/>
      </w:divBdr>
    </w:div>
    <w:div w:id="22637248">
      <w:bodyDiv w:val="1"/>
      <w:marLeft w:val="0"/>
      <w:marRight w:val="0"/>
      <w:marTop w:val="0"/>
      <w:marBottom w:val="0"/>
      <w:divBdr>
        <w:top w:val="none" w:sz="0" w:space="0" w:color="auto"/>
        <w:left w:val="none" w:sz="0" w:space="0" w:color="auto"/>
        <w:bottom w:val="none" w:sz="0" w:space="0" w:color="auto"/>
        <w:right w:val="none" w:sz="0" w:space="0" w:color="auto"/>
      </w:divBdr>
    </w:div>
    <w:div w:id="26875498">
      <w:bodyDiv w:val="1"/>
      <w:marLeft w:val="0"/>
      <w:marRight w:val="0"/>
      <w:marTop w:val="0"/>
      <w:marBottom w:val="0"/>
      <w:divBdr>
        <w:top w:val="none" w:sz="0" w:space="0" w:color="auto"/>
        <w:left w:val="none" w:sz="0" w:space="0" w:color="auto"/>
        <w:bottom w:val="none" w:sz="0" w:space="0" w:color="auto"/>
        <w:right w:val="none" w:sz="0" w:space="0" w:color="auto"/>
      </w:divBdr>
    </w:div>
    <w:div w:id="31342721">
      <w:bodyDiv w:val="1"/>
      <w:marLeft w:val="0"/>
      <w:marRight w:val="0"/>
      <w:marTop w:val="0"/>
      <w:marBottom w:val="0"/>
      <w:divBdr>
        <w:top w:val="none" w:sz="0" w:space="0" w:color="auto"/>
        <w:left w:val="none" w:sz="0" w:space="0" w:color="auto"/>
        <w:bottom w:val="none" w:sz="0" w:space="0" w:color="auto"/>
        <w:right w:val="none" w:sz="0" w:space="0" w:color="auto"/>
      </w:divBdr>
    </w:div>
    <w:div w:id="39793154">
      <w:bodyDiv w:val="1"/>
      <w:marLeft w:val="0"/>
      <w:marRight w:val="0"/>
      <w:marTop w:val="0"/>
      <w:marBottom w:val="0"/>
      <w:divBdr>
        <w:top w:val="none" w:sz="0" w:space="0" w:color="auto"/>
        <w:left w:val="none" w:sz="0" w:space="0" w:color="auto"/>
        <w:bottom w:val="none" w:sz="0" w:space="0" w:color="auto"/>
        <w:right w:val="none" w:sz="0" w:space="0" w:color="auto"/>
      </w:divBdr>
    </w:div>
    <w:div w:id="45178797">
      <w:bodyDiv w:val="1"/>
      <w:marLeft w:val="0"/>
      <w:marRight w:val="0"/>
      <w:marTop w:val="0"/>
      <w:marBottom w:val="0"/>
      <w:divBdr>
        <w:top w:val="none" w:sz="0" w:space="0" w:color="auto"/>
        <w:left w:val="none" w:sz="0" w:space="0" w:color="auto"/>
        <w:bottom w:val="none" w:sz="0" w:space="0" w:color="auto"/>
        <w:right w:val="none" w:sz="0" w:space="0" w:color="auto"/>
      </w:divBdr>
    </w:div>
    <w:div w:id="47186857">
      <w:bodyDiv w:val="1"/>
      <w:marLeft w:val="0"/>
      <w:marRight w:val="0"/>
      <w:marTop w:val="0"/>
      <w:marBottom w:val="0"/>
      <w:divBdr>
        <w:top w:val="none" w:sz="0" w:space="0" w:color="auto"/>
        <w:left w:val="none" w:sz="0" w:space="0" w:color="auto"/>
        <w:bottom w:val="none" w:sz="0" w:space="0" w:color="auto"/>
        <w:right w:val="none" w:sz="0" w:space="0" w:color="auto"/>
      </w:divBdr>
    </w:div>
    <w:div w:id="68238510">
      <w:bodyDiv w:val="1"/>
      <w:marLeft w:val="0"/>
      <w:marRight w:val="0"/>
      <w:marTop w:val="0"/>
      <w:marBottom w:val="0"/>
      <w:divBdr>
        <w:top w:val="none" w:sz="0" w:space="0" w:color="auto"/>
        <w:left w:val="none" w:sz="0" w:space="0" w:color="auto"/>
        <w:bottom w:val="none" w:sz="0" w:space="0" w:color="auto"/>
        <w:right w:val="none" w:sz="0" w:space="0" w:color="auto"/>
      </w:divBdr>
    </w:div>
    <w:div w:id="77751392">
      <w:bodyDiv w:val="1"/>
      <w:marLeft w:val="0"/>
      <w:marRight w:val="0"/>
      <w:marTop w:val="0"/>
      <w:marBottom w:val="0"/>
      <w:divBdr>
        <w:top w:val="none" w:sz="0" w:space="0" w:color="auto"/>
        <w:left w:val="none" w:sz="0" w:space="0" w:color="auto"/>
        <w:bottom w:val="none" w:sz="0" w:space="0" w:color="auto"/>
        <w:right w:val="none" w:sz="0" w:space="0" w:color="auto"/>
      </w:divBdr>
    </w:div>
    <w:div w:id="94598098">
      <w:bodyDiv w:val="1"/>
      <w:marLeft w:val="0"/>
      <w:marRight w:val="0"/>
      <w:marTop w:val="0"/>
      <w:marBottom w:val="0"/>
      <w:divBdr>
        <w:top w:val="none" w:sz="0" w:space="0" w:color="auto"/>
        <w:left w:val="none" w:sz="0" w:space="0" w:color="auto"/>
        <w:bottom w:val="none" w:sz="0" w:space="0" w:color="auto"/>
        <w:right w:val="none" w:sz="0" w:space="0" w:color="auto"/>
      </w:divBdr>
    </w:div>
    <w:div w:id="101800968">
      <w:bodyDiv w:val="1"/>
      <w:marLeft w:val="0"/>
      <w:marRight w:val="0"/>
      <w:marTop w:val="0"/>
      <w:marBottom w:val="0"/>
      <w:divBdr>
        <w:top w:val="none" w:sz="0" w:space="0" w:color="auto"/>
        <w:left w:val="none" w:sz="0" w:space="0" w:color="auto"/>
        <w:bottom w:val="none" w:sz="0" w:space="0" w:color="auto"/>
        <w:right w:val="none" w:sz="0" w:space="0" w:color="auto"/>
      </w:divBdr>
    </w:div>
    <w:div w:id="117070599">
      <w:bodyDiv w:val="1"/>
      <w:marLeft w:val="0"/>
      <w:marRight w:val="0"/>
      <w:marTop w:val="0"/>
      <w:marBottom w:val="0"/>
      <w:divBdr>
        <w:top w:val="none" w:sz="0" w:space="0" w:color="auto"/>
        <w:left w:val="none" w:sz="0" w:space="0" w:color="auto"/>
        <w:bottom w:val="none" w:sz="0" w:space="0" w:color="auto"/>
        <w:right w:val="none" w:sz="0" w:space="0" w:color="auto"/>
      </w:divBdr>
    </w:div>
    <w:div w:id="130052552">
      <w:bodyDiv w:val="1"/>
      <w:marLeft w:val="0"/>
      <w:marRight w:val="0"/>
      <w:marTop w:val="0"/>
      <w:marBottom w:val="0"/>
      <w:divBdr>
        <w:top w:val="none" w:sz="0" w:space="0" w:color="auto"/>
        <w:left w:val="none" w:sz="0" w:space="0" w:color="auto"/>
        <w:bottom w:val="none" w:sz="0" w:space="0" w:color="auto"/>
        <w:right w:val="none" w:sz="0" w:space="0" w:color="auto"/>
      </w:divBdr>
    </w:div>
    <w:div w:id="130444165">
      <w:bodyDiv w:val="1"/>
      <w:marLeft w:val="0"/>
      <w:marRight w:val="0"/>
      <w:marTop w:val="0"/>
      <w:marBottom w:val="0"/>
      <w:divBdr>
        <w:top w:val="none" w:sz="0" w:space="0" w:color="auto"/>
        <w:left w:val="none" w:sz="0" w:space="0" w:color="auto"/>
        <w:bottom w:val="none" w:sz="0" w:space="0" w:color="auto"/>
        <w:right w:val="none" w:sz="0" w:space="0" w:color="auto"/>
      </w:divBdr>
    </w:div>
    <w:div w:id="137723725">
      <w:bodyDiv w:val="1"/>
      <w:marLeft w:val="0"/>
      <w:marRight w:val="0"/>
      <w:marTop w:val="0"/>
      <w:marBottom w:val="0"/>
      <w:divBdr>
        <w:top w:val="none" w:sz="0" w:space="0" w:color="auto"/>
        <w:left w:val="none" w:sz="0" w:space="0" w:color="auto"/>
        <w:bottom w:val="none" w:sz="0" w:space="0" w:color="auto"/>
        <w:right w:val="none" w:sz="0" w:space="0" w:color="auto"/>
      </w:divBdr>
    </w:div>
    <w:div w:id="138035477">
      <w:bodyDiv w:val="1"/>
      <w:marLeft w:val="0"/>
      <w:marRight w:val="0"/>
      <w:marTop w:val="0"/>
      <w:marBottom w:val="0"/>
      <w:divBdr>
        <w:top w:val="none" w:sz="0" w:space="0" w:color="auto"/>
        <w:left w:val="none" w:sz="0" w:space="0" w:color="auto"/>
        <w:bottom w:val="none" w:sz="0" w:space="0" w:color="auto"/>
        <w:right w:val="none" w:sz="0" w:space="0" w:color="auto"/>
      </w:divBdr>
    </w:div>
    <w:div w:id="145363373">
      <w:bodyDiv w:val="1"/>
      <w:marLeft w:val="0"/>
      <w:marRight w:val="0"/>
      <w:marTop w:val="0"/>
      <w:marBottom w:val="0"/>
      <w:divBdr>
        <w:top w:val="none" w:sz="0" w:space="0" w:color="auto"/>
        <w:left w:val="none" w:sz="0" w:space="0" w:color="auto"/>
        <w:bottom w:val="none" w:sz="0" w:space="0" w:color="auto"/>
        <w:right w:val="none" w:sz="0" w:space="0" w:color="auto"/>
      </w:divBdr>
    </w:div>
    <w:div w:id="147795955">
      <w:bodyDiv w:val="1"/>
      <w:marLeft w:val="0"/>
      <w:marRight w:val="0"/>
      <w:marTop w:val="0"/>
      <w:marBottom w:val="0"/>
      <w:divBdr>
        <w:top w:val="none" w:sz="0" w:space="0" w:color="auto"/>
        <w:left w:val="none" w:sz="0" w:space="0" w:color="auto"/>
        <w:bottom w:val="none" w:sz="0" w:space="0" w:color="auto"/>
        <w:right w:val="none" w:sz="0" w:space="0" w:color="auto"/>
      </w:divBdr>
    </w:div>
    <w:div w:id="155607520">
      <w:bodyDiv w:val="1"/>
      <w:marLeft w:val="0"/>
      <w:marRight w:val="0"/>
      <w:marTop w:val="0"/>
      <w:marBottom w:val="0"/>
      <w:divBdr>
        <w:top w:val="none" w:sz="0" w:space="0" w:color="auto"/>
        <w:left w:val="none" w:sz="0" w:space="0" w:color="auto"/>
        <w:bottom w:val="none" w:sz="0" w:space="0" w:color="auto"/>
        <w:right w:val="none" w:sz="0" w:space="0" w:color="auto"/>
      </w:divBdr>
    </w:div>
    <w:div w:id="171184593">
      <w:bodyDiv w:val="1"/>
      <w:marLeft w:val="0"/>
      <w:marRight w:val="0"/>
      <w:marTop w:val="0"/>
      <w:marBottom w:val="0"/>
      <w:divBdr>
        <w:top w:val="none" w:sz="0" w:space="0" w:color="auto"/>
        <w:left w:val="none" w:sz="0" w:space="0" w:color="auto"/>
        <w:bottom w:val="none" w:sz="0" w:space="0" w:color="auto"/>
        <w:right w:val="none" w:sz="0" w:space="0" w:color="auto"/>
      </w:divBdr>
    </w:div>
    <w:div w:id="178396525">
      <w:bodyDiv w:val="1"/>
      <w:marLeft w:val="0"/>
      <w:marRight w:val="0"/>
      <w:marTop w:val="0"/>
      <w:marBottom w:val="0"/>
      <w:divBdr>
        <w:top w:val="none" w:sz="0" w:space="0" w:color="auto"/>
        <w:left w:val="none" w:sz="0" w:space="0" w:color="auto"/>
        <w:bottom w:val="none" w:sz="0" w:space="0" w:color="auto"/>
        <w:right w:val="none" w:sz="0" w:space="0" w:color="auto"/>
      </w:divBdr>
    </w:div>
    <w:div w:id="178660912">
      <w:bodyDiv w:val="1"/>
      <w:marLeft w:val="0"/>
      <w:marRight w:val="0"/>
      <w:marTop w:val="0"/>
      <w:marBottom w:val="0"/>
      <w:divBdr>
        <w:top w:val="none" w:sz="0" w:space="0" w:color="auto"/>
        <w:left w:val="none" w:sz="0" w:space="0" w:color="auto"/>
        <w:bottom w:val="none" w:sz="0" w:space="0" w:color="auto"/>
        <w:right w:val="none" w:sz="0" w:space="0" w:color="auto"/>
      </w:divBdr>
    </w:div>
    <w:div w:id="182715316">
      <w:bodyDiv w:val="1"/>
      <w:marLeft w:val="0"/>
      <w:marRight w:val="0"/>
      <w:marTop w:val="0"/>
      <w:marBottom w:val="0"/>
      <w:divBdr>
        <w:top w:val="none" w:sz="0" w:space="0" w:color="auto"/>
        <w:left w:val="none" w:sz="0" w:space="0" w:color="auto"/>
        <w:bottom w:val="none" w:sz="0" w:space="0" w:color="auto"/>
        <w:right w:val="none" w:sz="0" w:space="0" w:color="auto"/>
      </w:divBdr>
    </w:div>
    <w:div w:id="203300088">
      <w:bodyDiv w:val="1"/>
      <w:marLeft w:val="0"/>
      <w:marRight w:val="0"/>
      <w:marTop w:val="0"/>
      <w:marBottom w:val="0"/>
      <w:divBdr>
        <w:top w:val="none" w:sz="0" w:space="0" w:color="auto"/>
        <w:left w:val="none" w:sz="0" w:space="0" w:color="auto"/>
        <w:bottom w:val="none" w:sz="0" w:space="0" w:color="auto"/>
        <w:right w:val="none" w:sz="0" w:space="0" w:color="auto"/>
      </w:divBdr>
    </w:div>
    <w:div w:id="211119531">
      <w:bodyDiv w:val="1"/>
      <w:marLeft w:val="0"/>
      <w:marRight w:val="0"/>
      <w:marTop w:val="0"/>
      <w:marBottom w:val="0"/>
      <w:divBdr>
        <w:top w:val="none" w:sz="0" w:space="0" w:color="auto"/>
        <w:left w:val="none" w:sz="0" w:space="0" w:color="auto"/>
        <w:bottom w:val="none" w:sz="0" w:space="0" w:color="auto"/>
        <w:right w:val="none" w:sz="0" w:space="0" w:color="auto"/>
      </w:divBdr>
    </w:div>
    <w:div w:id="215897834">
      <w:bodyDiv w:val="1"/>
      <w:marLeft w:val="0"/>
      <w:marRight w:val="0"/>
      <w:marTop w:val="0"/>
      <w:marBottom w:val="0"/>
      <w:divBdr>
        <w:top w:val="none" w:sz="0" w:space="0" w:color="auto"/>
        <w:left w:val="none" w:sz="0" w:space="0" w:color="auto"/>
        <w:bottom w:val="none" w:sz="0" w:space="0" w:color="auto"/>
        <w:right w:val="none" w:sz="0" w:space="0" w:color="auto"/>
      </w:divBdr>
    </w:div>
    <w:div w:id="227229355">
      <w:bodyDiv w:val="1"/>
      <w:marLeft w:val="0"/>
      <w:marRight w:val="0"/>
      <w:marTop w:val="0"/>
      <w:marBottom w:val="0"/>
      <w:divBdr>
        <w:top w:val="none" w:sz="0" w:space="0" w:color="auto"/>
        <w:left w:val="none" w:sz="0" w:space="0" w:color="auto"/>
        <w:bottom w:val="none" w:sz="0" w:space="0" w:color="auto"/>
        <w:right w:val="none" w:sz="0" w:space="0" w:color="auto"/>
      </w:divBdr>
    </w:div>
    <w:div w:id="228394122">
      <w:bodyDiv w:val="1"/>
      <w:marLeft w:val="0"/>
      <w:marRight w:val="0"/>
      <w:marTop w:val="0"/>
      <w:marBottom w:val="0"/>
      <w:divBdr>
        <w:top w:val="none" w:sz="0" w:space="0" w:color="auto"/>
        <w:left w:val="none" w:sz="0" w:space="0" w:color="auto"/>
        <w:bottom w:val="none" w:sz="0" w:space="0" w:color="auto"/>
        <w:right w:val="none" w:sz="0" w:space="0" w:color="auto"/>
      </w:divBdr>
    </w:div>
    <w:div w:id="239145472">
      <w:bodyDiv w:val="1"/>
      <w:marLeft w:val="0"/>
      <w:marRight w:val="0"/>
      <w:marTop w:val="0"/>
      <w:marBottom w:val="0"/>
      <w:divBdr>
        <w:top w:val="none" w:sz="0" w:space="0" w:color="auto"/>
        <w:left w:val="none" w:sz="0" w:space="0" w:color="auto"/>
        <w:bottom w:val="none" w:sz="0" w:space="0" w:color="auto"/>
        <w:right w:val="none" w:sz="0" w:space="0" w:color="auto"/>
      </w:divBdr>
    </w:div>
    <w:div w:id="240675551">
      <w:bodyDiv w:val="1"/>
      <w:marLeft w:val="0"/>
      <w:marRight w:val="0"/>
      <w:marTop w:val="0"/>
      <w:marBottom w:val="0"/>
      <w:divBdr>
        <w:top w:val="none" w:sz="0" w:space="0" w:color="auto"/>
        <w:left w:val="none" w:sz="0" w:space="0" w:color="auto"/>
        <w:bottom w:val="none" w:sz="0" w:space="0" w:color="auto"/>
        <w:right w:val="none" w:sz="0" w:space="0" w:color="auto"/>
      </w:divBdr>
    </w:div>
    <w:div w:id="243153147">
      <w:bodyDiv w:val="1"/>
      <w:marLeft w:val="0"/>
      <w:marRight w:val="0"/>
      <w:marTop w:val="0"/>
      <w:marBottom w:val="0"/>
      <w:divBdr>
        <w:top w:val="none" w:sz="0" w:space="0" w:color="auto"/>
        <w:left w:val="none" w:sz="0" w:space="0" w:color="auto"/>
        <w:bottom w:val="none" w:sz="0" w:space="0" w:color="auto"/>
        <w:right w:val="none" w:sz="0" w:space="0" w:color="auto"/>
      </w:divBdr>
    </w:div>
    <w:div w:id="271400059">
      <w:bodyDiv w:val="1"/>
      <w:marLeft w:val="0"/>
      <w:marRight w:val="0"/>
      <w:marTop w:val="0"/>
      <w:marBottom w:val="0"/>
      <w:divBdr>
        <w:top w:val="none" w:sz="0" w:space="0" w:color="auto"/>
        <w:left w:val="none" w:sz="0" w:space="0" w:color="auto"/>
        <w:bottom w:val="none" w:sz="0" w:space="0" w:color="auto"/>
        <w:right w:val="none" w:sz="0" w:space="0" w:color="auto"/>
      </w:divBdr>
    </w:div>
    <w:div w:id="276062603">
      <w:bodyDiv w:val="1"/>
      <w:marLeft w:val="0"/>
      <w:marRight w:val="0"/>
      <w:marTop w:val="0"/>
      <w:marBottom w:val="0"/>
      <w:divBdr>
        <w:top w:val="none" w:sz="0" w:space="0" w:color="auto"/>
        <w:left w:val="none" w:sz="0" w:space="0" w:color="auto"/>
        <w:bottom w:val="none" w:sz="0" w:space="0" w:color="auto"/>
        <w:right w:val="none" w:sz="0" w:space="0" w:color="auto"/>
      </w:divBdr>
    </w:div>
    <w:div w:id="276256458">
      <w:bodyDiv w:val="1"/>
      <w:marLeft w:val="0"/>
      <w:marRight w:val="0"/>
      <w:marTop w:val="0"/>
      <w:marBottom w:val="0"/>
      <w:divBdr>
        <w:top w:val="none" w:sz="0" w:space="0" w:color="auto"/>
        <w:left w:val="none" w:sz="0" w:space="0" w:color="auto"/>
        <w:bottom w:val="none" w:sz="0" w:space="0" w:color="auto"/>
        <w:right w:val="none" w:sz="0" w:space="0" w:color="auto"/>
      </w:divBdr>
    </w:div>
    <w:div w:id="277025471">
      <w:bodyDiv w:val="1"/>
      <w:marLeft w:val="0"/>
      <w:marRight w:val="0"/>
      <w:marTop w:val="0"/>
      <w:marBottom w:val="0"/>
      <w:divBdr>
        <w:top w:val="none" w:sz="0" w:space="0" w:color="auto"/>
        <w:left w:val="none" w:sz="0" w:space="0" w:color="auto"/>
        <w:bottom w:val="none" w:sz="0" w:space="0" w:color="auto"/>
        <w:right w:val="none" w:sz="0" w:space="0" w:color="auto"/>
      </w:divBdr>
    </w:div>
    <w:div w:id="287781744">
      <w:bodyDiv w:val="1"/>
      <w:marLeft w:val="0"/>
      <w:marRight w:val="0"/>
      <w:marTop w:val="0"/>
      <w:marBottom w:val="0"/>
      <w:divBdr>
        <w:top w:val="none" w:sz="0" w:space="0" w:color="auto"/>
        <w:left w:val="none" w:sz="0" w:space="0" w:color="auto"/>
        <w:bottom w:val="none" w:sz="0" w:space="0" w:color="auto"/>
        <w:right w:val="none" w:sz="0" w:space="0" w:color="auto"/>
      </w:divBdr>
    </w:div>
    <w:div w:id="291861966">
      <w:bodyDiv w:val="1"/>
      <w:marLeft w:val="0"/>
      <w:marRight w:val="0"/>
      <w:marTop w:val="0"/>
      <w:marBottom w:val="0"/>
      <w:divBdr>
        <w:top w:val="none" w:sz="0" w:space="0" w:color="auto"/>
        <w:left w:val="none" w:sz="0" w:space="0" w:color="auto"/>
        <w:bottom w:val="none" w:sz="0" w:space="0" w:color="auto"/>
        <w:right w:val="none" w:sz="0" w:space="0" w:color="auto"/>
      </w:divBdr>
    </w:div>
    <w:div w:id="294021103">
      <w:bodyDiv w:val="1"/>
      <w:marLeft w:val="0"/>
      <w:marRight w:val="0"/>
      <w:marTop w:val="0"/>
      <w:marBottom w:val="0"/>
      <w:divBdr>
        <w:top w:val="none" w:sz="0" w:space="0" w:color="auto"/>
        <w:left w:val="none" w:sz="0" w:space="0" w:color="auto"/>
        <w:bottom w:val="none" w:sz="0" w:space="0" w:color="auto"/>
        <w:right w:val="none" w:sz="0" w:space="0" w:color="auto"/>
      </w:divBdr>
    </w:div>
    <w:div w:id="300162337">
      <w:bodyDiv w:val="1"/>
      <w:marLeft w:val="0"/>
      <w:marRight w:val="0"/>
      <w:marTop w:val="0"/>
      <w:marBottom w:val="0"/>
      <w:divBdr>
        <w:top w:val="none" w:sz="0" w:space="0" w:color="auto"/>
        <w:left w:val="none" w:sz="0" w:space="0" w:color="auto"/>
        <w:bottom w:val="none" w:sz="0" w:space="0" w:color="auto"/>
        <w:right w:val="none" w:sz="0" w:space="0" w:color="auto"/>
      </w:divBdr>
    </w:div>
    <w:div w:id="312417102">
      <w:bodyDiv w:val="1"/>
      <w:marLeft w:val="0"/>
      <w:marRight w:val="0"/>
      <w:marTop w:val="0"/>
      <w:marBottom w:val="0"/>
      <w:divBdr>
        <w:top w:val="none" w:sz="0" w:space="0" w:color="auto"/>
        <w:left w:val="none" w:sz="0" w:space="0" w:color="auto"/>
        <w:bottom w:val="none" w:sz="0" w:space="0" w:color="auto"/>
        <w:right w:val="none" w:sz="0" w:space="0" w:color="auto"/>
      </w:divBdr>
    </w:div>
    <w:div w:id="326905129">
      <w:bodyDiv w:val="1"/>
      <w:marLeft w:val="0"/>
      <w:marRight w:val="0"/>
      <w:marTop w:val="0"/>
      <w:marBottom w:val="0"/>
      <w:divBdr>
        <w:top w:val="none" w:sz="0" w:space="0" w:color="auto"/>
        <w:left w:val="none" w:sz="0" w:space="0" w:color="auto"/>
        <w:bottom w:val="none" w:sz="0" w:space="0" w:color="auto"/>
        <w:right w:val="none" w:sz="0" w:space="0" w:color="auto"/>
      </w:divBdr>
    </w:div>
    <w:div w:id="329455836">
      <w:bodyDiv w:val="1"/>
      <w:marLeft w:val="0"/>
      <w:marRight w:val="0"/>
      <w:marTop w:val="0"/>
      <w:marBottom w:val="0"/>
      <w:divBdr>
        <w:top w:val="none" w:sz="0" w:space="0" w:color="auto"/>
        <w:left w:val="none" w:sz="0" w:space="0" w:color="auto"/>
        <w:bottom w:val="none" w:sz="0" w:space="0" w:color="auto"/>
        <w:right w:val="none" w:sz="0" w:space="0" w:color="auto"/>
      </w:divBdr>
    </w:div>
    <w:div w:id="333994876">
      <w:bodyDiv w:val="1"/>
      <w:marLeft w:val="0"/>
      <w:marRight w:val="0"/>
      <w:marTop w:val="0"/>
      <w:marBottom w:val="0"/>
      <w:divBdr>
        <w:top w:val="none" w:sz="0" w:space="0" w:color="auto"/>
        <w:left w:val="none" w:sz="0" w:space="0" w:color="auto"/>
        <w:bottom w:val="none" w:sz="0" w:space="0" w:color="auto"/>
        <w:right w:val="none" w:sz="0" w:space="0" w:color="auto"/>
      </w:divBdr>
    </w:div>
    <w:div w:id="344788043">
      <w:bodyDiv w:val="1"/>
      <w:marLeft w:val="0"/>
      <w:marRight w:val="0"/>
      <w:marTop w:val="0"/>
      <w:marBottom w:val="0"/>
      <w:divBdr>
        <w:top w:val="none" w:sz="0" w:space="0" w:color="auto"/>
        <w:left w:val="none" w:sz="0" w:space="0" w:color="auto"/>
        <w:bottom w:val="none" w:sz="0" w:space="0" w:color="auto"/>
        <w:right w:val="none" w:sz="0" w:space="0" w:color="auto"/>
      </w:divBdr>
    </w:div>
    <w:div w:id="362630605">
      <w:bodyDiv w:val="1"/>
      <w:marLeft w:val="0"/>
      <w:marRight w:val="0"/>
      <w:marTop w:val="0"/>
      <w:marBottom w:val="0"/>
      <w:divBdr>
        <w:top w:val="none" w:sz="0" w:space="0" w:color="auto"/>
        <w:left w:val="none" w:sz="0" w:space="0" w:color="auto"/>
        <w:bottom w:val="none" w:sz="0" w:space="0" w:color="auto"/>
        <w:right w:val="none" w:sz="0" w:space="0" w:color="auto"/>
      </w:divBdr>
    </w:div>
    <w:div w:id="396442355">
      <w:bodyDiv w:val="1"/>
      <w:marLeft w:val="0"/>
      <w:marRight w:val="0"/>
      <w:marTop w:val="0"/>
      <w:marBottom w:val="0"/>
      <w:divBdr>
        <w:top w:val="none" w:sz="0" w:space="0" w:color="auto"/>
        <w:left w:val="none" w:sz="0" w:space="0" w:color="auto"/>
        <w:bottom w:val="none" w:sz="0" w:space="0" w:color="auto"/>
        <w:right w:val="none" w:sz="0" w:space="0" w:color="auto"/>
      </w:divBdr>
    </w:div>
    <w:div w:id="405736102">
      <w:bodyDiv w:val="1"/>
      <w:marLeft w:val="0"/>
      <w:marRight w:val="0"/>
      <w:marTop w:val="0"/>
      <w:marBottom w:val="0"/>
      <w:divBdr>
        <w:top w:val="none" w:sz="0" w:space="0" w:color="auto"/>
        <w:left w:val="none" w:sz="0" w:space="0" w:color="auto"/>
        <w:bottom w:val="none" w:sz="0" w:space="0" w:color="auto"/>
        <w:right w:val="none" w:sz="0" w:space="0" w:color="auto"/>
      </w:divBdr>
    </w:div>
    <w:div w:id="429354629">
      <w:bodyDiv w:val="1"/>
      <w:marLeft w:val="0"/>
      <w:marRight w:val="0"/>
      <w:marTop w:val="0"/>
      <w:marBottom w:val="0"/>
      <w:divBdr>
        <w:top w:val="none" w:sz="0" w:space="0" w:color="auto"/>
        <w:left w:val="none" w:sz="0" w:space="0" w:color="auto"/>
        <w:bottom w:val="none" w:sz="0" w:space="0" w:color="auto"/>
        <w:right w:val="none" w:sz="0" w:space="0" w:color="auto"/>
      </w:divBdr>
    </w:div>
    <w:div w:id="444006892">
      <w:bodyDiv w:val="1"/>
      <w:marLeft w:val="0"/>
      <w:marRight w:val="0"/>
      <w:marTop w:val="0"/>
      <w:marBottom w:val="0"/>
      <w:divBdr>
        <w:top w:val="none" w:sz="0" w:space="0" w:color="auto"/>
        <w:left w:val="none" w:sz="0" w:space="0" w:color="auto"/>
        <w:bottom w:val="none" w:sz="0" w:space="0" w:color="auto"/>
        <w:right w:val="none" w:sz="0" w:space="0" w:color="auto"/>
      </w:divBdr>
    </w:div>
    <w:div w:id="452286972">
      <w:bodyDiv w:val="1"/>
      <w:marLeft w:val="0"/>
      <w:marRight w:val="0"/>
      <w:marTop w:val="0"/>
      <w:marBottom w:val="0"/>
      <w:divBdr>
        <w:top w:val="none" w:sz="0" w:space="0" w:color="auto"/>
        <w:left w:val="none" w:sz="0" w:space="0" w:color="auto"/>
        <w:bottom w:val="none" w:sz="0" w:space="0" w:color="auto"/>
        <w:right w:val="none" w:sz="0" w:space="0" w:color="auto"/>
      </w:divBdr>
    </w:div>
    <w:div w:id="460999244">
      <w:bodyDiv w:val="1"/>
      <w:marLeft w:val="0"/>
      <w:marRight w:val="0"/>
      <w:marTop w:val="0"/>
      <w:marBottom w:val="0"/>
      <w:divBdr>
        <w:top w:val="none" w:sz="0" w:space="0" w:color="auto"/>
        <w:left w:val="none" w:sz="0" w:space="0" w:color="auto"/>
        <w:bottom w:val="none" w:sz="0" w:space="0" w:color="auto"/>
        <w:right w:val="none" w:sz="0" w:space="0" w:color="auto"/>
      </w:divBdr>
    </w:div>
    <w:div w:id="461004835">
      <w:bodyDiv w:val="1"/>
      <w:marLeft w:val="0"/>
      <w:marRight w:val="0"/>
      <w:marTop w:val="0"/>
      <w:marBottom w:val="0"/>
      <w:divBdr>
        <w:top w:val="none" w:sz="0" w:space="0" w:color="auto"/>
        <w:left w:val="none" w:sz="0" w:space="0" w:color="auto"/>
        <w:bottom w:val="none" w:sz="0" w:space="0" w:color="auto"/>
        <w:right w:val="none" w:sz="0" w:space="0" w:color="auto"/>
      </w:divBdr>
    </w:div>
    <w:div w:id="472061702">
      <w:bodyDiv w:val="1"/>
      <w:marLeft w:val="0"/>
      <w:marRight w:val="0"/>
      <w:marTop w:val="0"/>
      <w:marBottom w:val="0"/>
      <w:divBdr>
        <w:top w:val="none" w:sz="0" w:space="0" w:color="auto"/>
        <w:left w:val="none" w:sz="0" w:space="0" w:color="auto"/>
        <w:bottom w:val="none" w:sz="0" w:space="0" w:color="auto"/>
        <w:right w:val="none" w:sz="0" w:space="0" w:color="auto"/>
      </w:divBdr>
    </w:div>
    <w:div w:id="472139144">
      <w:bodyDiv w:val="1"/>
      <w:marLeft w:val="0"/>
      <w:marRight w:val="0"/>
      <w:marTop w:val="0"/>
      <w:marBottom w:val="0"/>
      <w:divBdr>
        <w:top w:val="none" w:sz="0" w:space="0" w:color="auto"/>
        <w:left w:val="none" w:sz="0" w:space="0" w:color="auto"/>
        <w:bottom w:val="none" w:sz="0" w:space="0" w:color="auto"/>
        <w:right w:val="none" w:sz="0" w:space="0" w:color="auto"/>
      </w:divBdr>
    </w:div>
    <w:div w:id="478613892">
      <w:bodyDiv w:val="1"/>
      <w:marLeft w:val="0"/>
      <w:marRight w:val="0"/>
      <w:marTop w:val="0"/>
      <w:marBottom w:val="0"/>
      <w:divBdr>
        <w:top w:val="none" w:sz="0" w:space="0" w:color="auto"/>
        <w:left w:val="none" w:sz="0" w:space="0" w:color="auto"/>
        <w:bottom w:val="none" w:sz="0" w:space="0" w:color="auto"/>
        <w:right w:val="none" w:sz="0" w:space="0" w:color="auto"/>
      </w:divBdr>
    </w:div>
    <w:div w:id="478810572">
      <w:bodyDiv w:val="1"/>
      <w:marLeft w:val="0"/>
      <w:marRight w:val="0"/>
      <w:marTop w:val="0"/>
      <w:marBottom w:val="0"/>
      <w:divBdr>
        <w:top w:val="none" w:sz="0" w:space="0" w:color="auto"/>
        <w:left w:val="none" w:sz="0" w:space="0" w:color="auto"/>
        <w:bottom w:val="none" w:sz="0" w:space="0" w:color="auto"/>
        <w:right w:val="none" w:sz="0" w:space="0" w:color="auto"/>
      </w:divBdr>
    </w:div>
    <w:div w:id="488061280">
      <w:bodyDiv w:val="1"/>
      <w:marLeft w:val="0"/>
      <w:marRight w:val="0"/>
      <w:marTop w:val="0"/>
      <w:marBottom w:val="0"/>
      <w:divBdr>
        <w:top w:val="none" w:sz="0" w:space="0" w:color="auto"/>
        <w:left w:val="none" w:sz="0" w:space="0" w:color="auto"/>
        <w:bottom w:val="none" w:sz="0" w:space="0" w:color="auto"/>
        <w:right w:val="none" w:sz="0" w:space="0" w:color="auto"/>
      </w:divBdr>
    </w:div>
    <w:div w:id="519126165">
      <w:bodyDiv w:val="1"/>
      <w:marLeft w:val="0"/>
      <w:marRight w:val="0"/>
      <w:marTop w:val="0"/>
      <w:marBottom w:val="0"/>
      <w:divBdr>
        <w:top w:val="none" w:sz="0" w:space="0" w:color="auto"/>
        <w:left w:val="none" w:sz="0" w:space="0" w:color="auto"/>
        <w:bottom w:val="none" w:sz="0" w:space="0" w:color="auto"/>
        <w:right w:val="none" w:sz="0" w:space="0" w:color="auto"/>
      </w:divBdr>
    </w:div>
    <w:div w:id="528028059">
      <w:bodyDiv w:val="1"/>
      <w:marLeft w:val="0"/>
      <w:marRight w:val="0"/>
      <w:marTop w:val="0"/>
      <w:marBottom w:val="0"/>
      <w:divBdr>
        <w:top w:val="none" w:sz="0" w:space="0" w:color="auto"/>
        <w:left w:val="none" w:sz="0" w:space="0" w:color="auto"/>
        <w:bottom w:val="none" w:sz="0" w:space="0" w:color="auto"/>
        <w:right w:val="none" w:sz="0" w:space="0" w:color="auto"/>
      </w:divBdr>
    </w:div>
    <w:div w:id="533616891">
      <w:bodyDiv w:val="1"/>
      <w:marLeft w:val="0"/>
      <w:marRight w:val="0"/>
      <w:marTop w:val="0"/>
      <w:marBottom w:val="0"/>
      <w:divBdr>
        <w:top w:val="none" w:sz="0" w:space="0" w:color="auto"/>
        <w:left w:val="none" w:sz="0" w:space="0" w:color="auto"/>
        <w:bottom w:val="none" w:sz="0" w:space="0" w:color="auto"/>
        <w:right w:val="none" w:sz="0" w:space="0" w:color="auto"/>
      </w:divBdr>
    </w:div>
    <w:div w:id="538711449">
      <w:bodyDiv w:val="1"/>
      <w:marLeft w:val="0"/>
      <w:marRight w:val="0"/>
      <w:marTop w:val="0"/>
      <w:marBottom w:val="0"/>
      <w:divBdr>
        <w:top w:val="none" w:sz="0" w:space="0" w:color="auto"/>
        <w:left w:val="none" w:sz="0" w:space="0" w:color="auto"/>
        <w:bottom w:val="none" w:sz="0" w:space="0" w:color="auto"/>
        <w:right w:val="none" w:sz="0" w:space="0" w:color="auto"/>
      </w:divBdr>
    </w:div>
    <w:div w:id="548879631">
      <w:bodyDiv w:val="1"/>
      <w:marLeft w:val="0"/>
      <w:marRight w:val="0"/>
      <w:marTop w:val="0"/>
      <w:marBottom w:val="0"/>
      <w:divBdr>
        <w:top w:val="none" w:sz="0" w:space="0" w:color="auto"/>
        <w:left w:val="none" w:sz="0" w:space="0" w:color="auto"/>
        <w:bottom w:val="none" w:sz="0" w:space="0" w:color="auto"/>
        <w:right w:val="none" w:sz="0" w:space="0" w:color="auto"/>
      </w:divBdr>
    </w:div>
    <w:div w:id="551624407">
      <w:bodyDiv w:val="1"/>
      <w:marLeft w:val="0"/>
      <w:marRight w:val="0"/>
      <w:marTop w:val="0"/>
      <w:marBottom w:val="0"/>
      <w:divBdr>
        <w:top w:val="none" w:sz="0" w:space="0" w:color="auto"/>
        <w:left w:val="none" w:sz="0" w:space="0" w:color="auto"/>
        <w:bottom w:val="none" w:sz="0" w:space="0" w:color="auto"/>
        <w:right w:val="none" w:sz="0" w:space="0" w:color="auto"/>
      </w:divBdr>
    </w:div>
    <w:div w:id="562446695">
      <w:bodyDiv w:val="1"/>
      <w:marLeft w:val="0"/>
      <w:marRight w:val="0"/>
      <w:marTop w:val="0"/>
      <w:marBottom w:val="0"/>
      <w:divBdr>
        <w:top w:val="none" w:sz="0" w:space="0" w:color="auto"/>
        <w:left w:val="none" w:sz="0" w:space="0" w:color="auto"/>
        <w:bottom w:val="none" w:sz="0" w:space="0" w:color="auto"/>
        <w:right w:val="none" w:sz="0" w:space="0" w:color="auto"/>
      </w:divBdr>
    </w:div>
    <w:div w:id="564992402">
      <w:bodyDiv w:val="1"/>
      <w:marLeft w:val="0"/>
      <w:marRight w:val="0"/>
      <w:marTop w:val="0"/>
      <w:marBottom w:val="0"/>
      <w:divBdr>
        <w:top w:val="none" w:sz="0" w:space="0" w:color="auto"/>
        <w:left w:val="none" w:sz="0" w:space="0" w:color="auto"/>
        <w:bottom w:val="none" w:sz="0" w:space="0" w:color="auto"/>
        <w:right w:val="none" w:sz="0" w:space="0" w:color="auto"/>
      </w:divBdr>
    </w:div>
    <w:div w:id="568081871">
      <w:bodyDiv w:val="1"/>
      <w:marLeft w:val="0"/>
      <w:marRight w:val="0"/>
      <w:marTop w:val="0"/>
      <w:marBottom w:val="0"/>
      <w:divBdr>
        <w:top w:val="none" w:sz="0" w:space="0" w:color="auto"/>
        <w:left w:val="none" w:sz="0" w:space="0" w:color="auto"/>
        <w:bottom w:val="none" w:sz="0" w:space="0" w:color="auto"/>
        <w:right w:val="none" w:sz="0" w:space="0" w:color="auto"/>
      </w:divBdr>
    </w:div>
    <w:div w:id="570428605">
      <w:bodyDiv w:val="1"/>
      <w:marLeft w:val="0"/>
      <w:marRight w:val="0"/>
      <w:marTop w:val="0"/>
      <w:marBottom w:val="0"/>
      <w:divBdr>
        <w:top w:val="none" w:sz="0" w:space="0" w:color="auto"/>
        <w:left w:val="none" w:sz="0" w:space="0" w:color="auto"/>
        <w:bottom w:val="none" w:sz="0" w:space="0" w:color="auto"/>
        <w:right w:val="none" w:sz="0" w:space="0" w:color="auto"/>
      </w:divBdr>
    </w:div>
    <w:div w:id="578104313">
      <w:bodyDiv w:val="1"/>
      <w:marLeft w:val="0"/>
      <w:marRight w:val="0"/>
      <w:marTop w:val="0"/>
      <w:marBottom w:val="0"/>
      <w:divBdr>
        <w:top w:val="none" w:sz="0" w:space="0" w:color="auto"/>
        <w:left w:val="none" w:sz="0" w:space="0" w:color="auto"/>
        <w:bottom w:val="none" w:sz="0" w:space="0" w:color="auto"/>
        <w:right w:val="none" w:sz="0" w:space="0" w:color="auto"/>
      </w:divBdr>
    </w:div>
    <w:div w:id="587622482">
      <w:bodyDiv w:val="1"/>
      <w:marLeft w:val="0"/>
      <w:marRight w:val="0"/>
      <w:marTop w:val="0"/>
      <w:marBottom w:val="0"/>
      <w:divBdr>
        <w:top w:val="none" w:sz="0" w:space="0" w:color="auto"/>
        <w:left w:val="none" w:sz="0" w:space="0" w:color="auto"/>
        <w:bottom w:val="none" w:sz="0" w:space="0" w:color="auto"/>
        <w:right w:val="none" w:sz="0" w:space="0" w:color="auto"/>
      </w:divBdr>
    </w:div>
    <w:div w:id="588849960">
      <w:bodyDiv w:val="1"/>
      <w:marLeft w:val="0"/>
      <w:marRight w:val="0"/>
      <w:marTop w:val="0"/>
      <w:marBottom w:val="0"/>
      <w:divBdr>
        <w:top w:val="none" w:sz="0" w:space="0" w:color="auto"/>
        <w:left w:val="none" w:sz="0" w:space="0" w:color="auto"/>
        <w:bottom w:val="none" w:sz="0" w:space="0" w:color="auto"/>
        <w:right w:val="none" w:sz="0" w:space="0" w:color="auto"/>
      </w:divBdr>
    </w:div>
    <w:div w:id="602877970">
      <w:bodyDiv w:val="1"/>
      <w:marLeft w:val="0"/>
      <w:marRight w:val="0"/>
      <w:marTop w:val="0"/>
      <w:marBottom w:val="0"/>
      <w:divBdr>
        <w:top w:val="none" w:sz="0" w:space="0" w:color="auto"/>
        <w:left w:val="none" w:sz="0" w:space="0" w:color="auto"/>
        <w:bottom w:val="none" w:sz="0" w:space="0" w:color="auto"/>
        <w:right w:val="none" w:sz="0" w:space="0" w:color="auto"/>
      </w:divBdr>
    </w:div>
    <w:div w:id="614601411">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21963452">
      <w:bodyDiv w:val="1"/>
      <w:marLeft w:val="0"/>
      <w:marRight w:val="0"/>
      <w:marTop w:val="0"/>
      <w:marBottom w:val="0"/>
      <w:divBdr>
        <w:top w:val="none" w:sz="0" w:space="0" w:color="auto"/>
        <w:left w:val="none" w:sz="0" w:space="0" w:color="auto"/>
        <w:bottom w:val="none" w:sz="0" w:space="0" w:color="auto"/>
        <w:right w:val="none" w:sz="0" w:space="0" w:color="auto"/>
      </w:divBdr>
    </w:div>
    <w:div w:id="627467085">
      <w:bodyDiv w:val="1"/>
      <w:marLeft w:val="0"/>
      <w:marRight w:val="0"/>
      <w:marTop w:val="0"/>
      <w:marBottom w:val="0"/>
      <w:divBdr>
        <w:top w:val="none" w:sz="0" w:space="0" w:color="auto"/>
        <w:left w:val="none" w:sz="0" w:space="0" w:color="auto"/>
        <w:bottom w:val="none" w:sz="0" w:space="0" w:color="auto"/>
        <w:right w:val="none" w:sz="0" w:space="0" w:color="auto"/>
      </w:divBdr>
    </w:div>
    <w:div w:id="628097866">
      <w:bodyDiv w:val="1"/>
      <w:marLeft w:val="0"/>
      <w:marRight w:val="0"/>
      <w:marTop w:val="0"/>
      <w:marBottom w:val="0"/>
      <w:divBdr>
        <w:top w:val="none" w:sz="0" w:space="0" w:color="auto"/>
        <w:left w:val="none" w:sz="0" w:space="0" w:color="auto"/>
        <w:bottom w:val="none" w:sz="0" w:space="0" w:color="auto"/>
        <w:right w:val="none" w:sz="0" w:space="0" w:color="auto"/>
      </w:divBdr>
    </w:div>
    <w:div w:id="629088634">
      <w:bodyDiv w:val="1"/>
      <w:marLeft w:val="0"/>
      <w:marRight w:val="0"/>
      <w:marTop w:val="0"/>
      <w:marBottom w:val="0"/>
      <w:divBdr>
        <w:top w:val="none" w:sz="0" w:space="0" w:color="auto"/>
        <w:left w:val="none" w:sz="0" w:space="0" w:color="auto"/>
        <w:bottom w:val="none" w:sz="0" w:space="0" w:color="auto"/>
        <w:right w:val="none" w:sz="0" w:space="0" w:color="auto"/>
      </w:divBdr>
    </w:div>
    <w:div w:id="638848962">
      <w:bodyDiv w:val="1"/>
      <w:marLeft w:val="0"/>
      <w:marRight w:val="0"/>
      <w:marTop w:val="0"/>
      <w:marBottom w:val="0"/>
      <w:divBdr>
        <w:top w:val="none" w:sz="0" w:space="0" w:color="auto"/>
        <w:left w:val="none" w:sz="0" w:space="0" w:color="auto"/>
        <w:bottom w:val="none" w:sz="0" w:space="0" w:color="auto"/>
        <w:right w:val="none" w:sz="0" w:space="0" w:color="auto"/>
      </w:divBdr>
    </w:div>
    <w:div w:id="640696205">
      <w:bodyDiv w:val="1"/>
      <w:marLeft w:val="0"/>
      <w:marRight w:val="0"/>
      <w:marTop w:val="0"/>
      <w:marBottom w:val="0"/>
      <w:divBdr>
        <w:top w:val="none" w:sz="0" w:space="0" w:color="auto"/>
        <w:left w:val="none" w:sz="0" w:space="0" w:color="auto"/>
        <w:bottom w:val="none" w:sz="0" w:space="0" w:color="auto"/>
        <w:right w:val="none" w:sz="0" w:space="0" w:color="auto"/>
      </w:divBdr>
    </w:div>
    <w:div w:id="642856159">
      <w:bodyDiv w:val="1"/>
      <w:marLeft w:val="0"/>
      <w:marRight w:val="0"/>
      <w:marTop w:val="0"/>
      <w:marBottom w:val="0"/>
      <w:divBdr>
        <w:top w:val="none" w:sz="0" w:space="0" w:color="auto"/>
        <w:left w:val="none" w:sz="0" w:space="0" w:color="auto"/>
        <w:bottom w:val="none" w:sz="0" w:space="0" w:color="auto"/>
        <w:right w:val="none" w:sz="0" w:space="0" w:color="auto"/>
      </w:divBdr>
    </w:div>
    <w:div w:id="650328080">
      <w:bodyDiv w:val="1"/>
      <w:marLeft w:val="0"/>
      <w:marRight w:val="0"/>
      <w:marTop w:val="0"/>
      <w:marBottom w:val="0"/>
      <w:divBdr>
        <w:top w:val="none" w:sz="0" w:space="0" w:color="auto"/>
        <w:left w:val="none" w:sz="0" w:space="0" w:color="auto"/>
        <w:bottom w:val="none" w:sz="0" w:space="0" w:color="auto"/>
        <w:right w:val="none" w:sz="0" w:space="0" w:color="auto"/>
      </w:divBdr>
    </w:div>
    <w:div w:id="650869020">
      <w:bodyDiv w:val="1"/>
      <w:marLeft w:val="0"/>
      <w:marRight w:val="0"/>
      <w:marTop w:val="0"/>
      <w:marBottom w:val="0"/>
      <w:divBdr>
        <w:top w:val="none" w:sz="0" w:space="0" w:color="auto"/>
        <w:left w:val="none" w:sz="0" w:space="0" w:color="auto"/>
        <w:bottom w:val="none" w:sz="0" w:space="0" w:color="auto"/>
        <w:right w:val="none" w:sz="0" w:space="0" w:color="auto"/>
      </w:divBdr>
    </w:div>
    <w:div w:id="655306440">
      <w:bodyDiv w:val="1"/>
      <w:marLeft w:val="0"/>
      <w:marRight w:val="0"/>
      <w:marTop w:val="0"/>
      <w:marBottom w:val="0"/>
      <w:divBdr>
        <w:top w:val="none" w:sz="0" w:space="0" w:color="auto"/>
        <w:left w:val="none" w:sz="0" w:space="0" w:color="auto"/>
        <w:bottom w:val="none" w:sz="0" w:space="0" w:color="auto"/>
        <w:right w:val="none" w:sz="0" w:space="0" w:color="auto"/>
      </w:divBdr>
    </w:div>
    <w:div w:id="663627881">
      <w:bodyDiv w:val="1"/>
      <w:marLeft w:val="0"/>
      <w:marRight w:val="0"/>
      <w:marTop w:val="0"/>
      <w:marBottom w:val="0"/>
      <w:divBdr>
        <w:top w:val="none" w:sz="0" w:space="0" w:color="auto"/>
        <w:left w:val="none" w:sz="0" w:space="0" w:color="auto"/>
        <w:bottom w:val="none" w:sz="0" w:space="0" w:color="auto"/>
        <w:right w:val="none" w:sz="0" w:space="0" w:color="auto"/>
      </w:divBdr>
    </w:div>
    <w:div w:id="715933026">
      <w:bodyDiv w:val="1"/>
      <w:marLeft w:val="0"/>
      <w:marRight w:val="0"/>
      <w:marTop w:val="0"/>
      <w:marBottom w:val="0"/>
      <w:divBdr>
        <w:top w:val="none" w:sz="0" w:space="0" w:color="auto"/>
        <w:left w:val="none" w:sz="0" w:space="0" w:color="auto"/>
        <w:bottom w:val="none" w:sz="0" w:space="0" w:color="auto"/>
        <w:right w:val="none" w:sz="0" w:space="0" w:color="auto"/>
      </w:divBdr>
    </w:div>
    <w:div w:id="732393767">
      <w:bodyDiv w:val="1"/>
      <w:marLeft w:val="0"/>
      <w:marRight w:val="0"/>
      <w:marTop w:val="0"/>
      <w:marBottom w:val="0"/>
      <w:divBdr>
        <w:top w:val="none" w:sz="0" w:space="0" w:color="auto"/>
        <w:left w:val="none" w:sz="0" w:space="0" w:color="auto"/>
        <w:bottom w:val="none" w:sz="0" w:space="0" w:color="auto"/>
        <w:right w:val="none" w:sz="0" w:space="0" w:color="auto"/>
      </w:divBdr>
    </w:div>
    <w:div w:id="761923773">
      <w:bodyDiv w:val="1"/>
      <w:marLeft w:val="0"/>
      <w:marRight w:val="0"/>
      <w:marTop w:val="0"/>
      <w:marBottom w:val="0"/>
      <w:divBdr>
        <w:top w:val="none" w:sz="0" w:space="0" w:color="auto"/>
        <w:left w:val="none" w:sz="0" w:space="0" w:color="auto"/>
        <w:bottom w:val="none" w:sz="0" w:space="0" w:color="auto"/>
        <w:right w:val="none" w:sz="0" w:space="0" w:color="auto"/>
      </w:divBdr>
    </w:div>
    <w:div w:id="781000072">
      <w:bodyDiv w:val="1"/>
      <w:marLeft w:val="0"/>
      <w:marRight w:val="0"/>
      <w:marTop w:val="0"/>
      <w:marBottom w:val="0"/>
      <w:divBdr>
        <w:top w:val="none" w:sz="0" w:space="0" w:color="auto"/>
        <w:left w:val="none" w:sz="0" w:space="0" w:color="auto"/>
        <w:bottom w:val="none" w:sz="0" w:space="0" w:color="auto"/>
        <w:right w:val="none" w:sz="0" w:space="0" w:color="auto"/>
      </w:divBdr>
    </w:div>
    <w:div w:id="782964779">
      <w:bodyDiv w:val="1"/>
      <w:marLeft w:val="0"/>
      <w:marRight w:val="0"/>
      <w:marTop w:val="0"/>
      <w:marBottom w:val="0"/>
      <w:divBdr>
        <w:top w:val="none" w:sz="0" w:space="0" w:color="auto"/>
        <w:left w:val="none" w:sz="0" w:space="0" w:color="auto"/>
        <w:bottom w:val="none" w:sz="0" w:space="0" w:color="auto"/>
        <w:right w:val="none" w:sz="0" w:space="0" w:color="auto"/>
      </w:divBdr>
    </w:div>
    <w:div w:id="790514813">
      <w:bodyDiv w:val="1"/>
      <w:marLeft w:val="0"/>
      <w:marRight w:val="0"/>
      <w:marTop w:val="0"/>
      <w:marBottom w:val="0"/>
      <w:divBdr>
        <w:top w:val="none" w:sz="0" w:space="0" w:color="auto"/>
        <w:left w:val="none" w:sz="0" w:space="0" w:color="auto"/>
        <w:bottom w:val="none" w:sz="0" w:space="0" w:color="auto"/>
        <w:right w:val="none" w:sz="0" w:space="0" w:color="auto"/>
      </w:divBdr>
    </w:div>
    <w:div w:id="793985955">
      <w:bodyDiv w:val="1"/>
      <w:marLeft w:val="0"/>
      <w:marRight w:val="0"/>
      <w:marTop w:val="0"/>
      <w:marBottom w:val="0"/>
      <w:divBdr>
        <w:top w:val="none" w:sz="0" w:space="0" w:color="auto"/>
        <w:left w:val="none" w:sz="0" w:space="0" w:color="auto"/>
        <w:bottom w:val="none" w:sz="0" w:space="0" w:color="auto"/>
        <w:right w:val="none" w:sz="0" w:space="0" w:color="auto"/>
      </w:divBdr>
    </w:div>
    <w:div w:id="809787386">
      <w:bodyDiv w:val="1"/>
      <w:marLeft w:val="0"/>
      <w:marRight w:val="0"/>
      <w:marTop w:val="0"/>
      <w:marBottom w:val="0"/>
      <w:divBdr>
        <w:top w:val="none" w:sz="0" w:space="0" w:color="auto"/>
        <w:left w:val="none" w:sz="0" w:space="0" w:color="auto"/>
        <w:bottom w:val="none" w:sz="0" w:space="0" w:color="auto"/>
        <w:right w:val="none" w:sz="0" w:space="0" w:color="auto"/>
      </w:divBdr>
    </w:div>
    <w:div w:id="813451536">
      <w:bodyDiv w:val="1"/>
      <w:marLeft w:val="0"/>
      <w:marRight w:val="0"/>
      <w:marTop w:val="0"/>
      <w:marBottom w:val="0"/>
      <w:divBdr>
        <w:top w:val="none" w:sz="0" w:space="0" w:color="auto"/>
        <w:left w:val="none" w:sz="0" w:space="0" w:color="auto"/>
        <w:bottom w:val="none" w:sz="0" w:space="0" w:color="auto"/>
        <w:right w:val="none" w:sz="0" w:space="0" w:color="auto"/>
      </w:divBdr>
    </w:div>
    <w:div w:id="829713976">
      <w:bodyDiv w:val="1"/>
      <w:marLeft w:val="0"/>
      <w:marRight w:val="0"/>
      <w:marTop w:val="0"/>
      <w:marBottom w:val="0"/>
      <w:divBdr>
        <w:top w:val="none" w:sz="0" w:space="0" w:color="auto"/>
        <w:left w:val="none" w:sz="0" w:space="0" w:color="auto"/>
        <w:bottom w:val="none" w:sz="0" w:space="0" w:color="auto"/>
        <w:right w:val="none" w:sz="0" w:space="0" w:color="auto"/>
      </w:divBdr>
    </w:div>
    <w:div w:id="841897665">
      <w:bodyDiv w:val="1"/>
      <w:marLeft w:val="0"/>
      <w:marRight w:val="0"/>
      <w:marTop w:val="0"/>
      <w:marBottom w:val="0"/>
      <w:divBdr>
        <w:top w:val="none" w:sz="0" w:space="0" w:color="auto"/>
        <w:left w:val="none" w:sz="0" w:space="0" w:color="auto"/>
        <w:bottom w:val="none" w:sz="0" w:space="0" w:color="auto"/>
        <w:right w:val="none" w:sz="0" w:space="0" w:color="auto"/>
      </w:divBdr>
    </w:div>
    <w:div w:id="848177513">
      <w:bodyDiv w:val="1"/>
      <w:marLeft w:val="0"/>
      <w:marRight w:val="0"/>
      <w:marTop w:val="0"/>
      <w:marBottom w:val="0"/>
      <w:divBdr>
        <w:top w:val="none" w:sz="0" w:space="0" w:color="auto"/>
        <w:left w:val="none" w:sz="0" w:space="0" w:color="auto"/>
        <w:bottom w:val="none" w:sz="0" w:space="0" w:color="auto"/>
        <w:right w:val="none" w:sz="0" w:space="0" w:color="auto"/>
      </w:divBdr>
    </w:div>
    <w:div w:id="858005368">
      <w:bodyDiv w:val="1"/>
      <w:marLeft w:val="0"/>
      <w:marRight w:val="0"/>
      <w:marTop w:val="0"/>
      <w:marBottom w:val="0"/>
      <w:divBdr>
        <w:top w:val="none" w:sz="0" w:space="0" w:color="auto"/>
        <w:left w:val="none" w:sz="0" w:space="0" w:color="auto"/>
        <w:bottom w:val="none" w:sz="0" w:space="0" w:color="auto"/>
        <w:right w:val="none" w:sz="0" w:space="0" w:color="auto"/>
      </w:divBdr>
    </w:div>
    <w:div w:id="867525760">
      <w:bodyDiv w:val="1"/>
      <w:marLeft w:val="0"/>
      <w:marRight w:val="0"/>
      <w:marTop w:val="0"/>
      <w:marBottom w:val="0"/>
      <w:divBdr>
        <w:top w:val="none" w:sz="0" w:space="0" w:color="auto"/>
        <w:left w:val="none" w:sz="0" w:space="0" w:color="auto"/>
        <w:bottom w:val="none" w:sz="0" w:space="0" w:color="auto"/>
        <w:right w:val="none" w:sz="0" w:space="0" w:color="auto"/>
      </w:divBdr>
    </w:div>
    <w:div w:id="872495832">
      <w:bodyDiv w:val="1"/>
      <w:marLeft w:val="0"/>
      <w:marRight w:val="0"/>
      <w:marTop w:val="0"/>
      <w:marBottom w:val="0"/>
      <w:divBdr>
        <w:top w:val="none" w:sz="0" w:space="0" w:color="auto"/>
        <w:left w:val="none" w:sz="0" w:space="0" w:color="auto"/>
        <w:bottom w:val="none" w:sz="0" w:space="0" w:color="auto"/>
        <w:right w:val="none" w:sz="0" w:space="0" w:color="auto"/>
      </w:divBdr>
    </w:div>
    <w:div w:id="875700583">
      <w:bodyDiv w:val="1"/>
      <w:marLeft w:val="0"/>
      <w:marRight w:val="0"/>
      <w:marTop w:val="0"/>
      <w:marBottom w:val="0"/>
      <w:divBdr>
        <w:top w:val="none" w:sz="0" w:space="0" w:color="auto"/>
        <w:left w:val="none" w:sz="0" w:space="0" w:color="auto"/>
        <w:bottom w:val="none" w:sz="0" w:space="0" w:color="auto"/>
        <w:right w:val="none" w:sz="0" w:space="0" w:color="auto"/>
      </w:divBdr>
    </w:div>
    <w:div w:id="879049633">
      <w:bodyDiv w:val="1"/>
      <w:marLeft w:val="0"/>
      <w:marRight w:val="0"/>
      <w:marTop w:val="0"/>
      <w:marBottom w:val="0"/>
      <w:divBdr>
        <w:top w:val="none" w:sz="0" w:space="0" w:color="auto"/>
        <w:left w:val="none" w:sz="0" w:space="0" w:color="auto"/>
        <w:bottom w:val="none" w:sz="0" w:space="0" w:color="auto"/>
        <w:right w:val="none" w:sz="0" w:space="0" w:color="auto"/>
      </w:divBdr>
    </w:div>
    <w:div w:id="881090734">
      <w:bodyDiv w:val="1"/>
      <w:marLeft w:val="0"/>
      <w:marRight w:val="0"/>
      <w:marTop w:val="0"/>
      <w:marBottom w:val="0"/>
      <w:divBdr>
        <w:top w:val="none" w:sz="0" w:space="0" w:color="auto"/>
        <w:left w:val="none" w:sz="0" w:space="0" w:color="auto"/>
        <w:bottom w:val="none" w:sz="0" w:space="0" w:color="auto"/>
        <w:right w:val="none" w:sz="0" w:space="0" w:color="auto"/>
      </w:divBdr>
    </w:div>
    <w:div w:id="882520173">
      <w:bodyDiv w:val="1"/>
      <w:marLeft w:val="0"/>
      <w:marRight w:val="0"/>
      <w:marTop w:val="0"/>
      <w:marBottom w:val="0"/>
      <w:divBdr>
        <w:top w:val="none" w:sz="0" w:space="0" w:color="auto"/>
        <w:left w:val="none" w:sz="0" w:space="0" w:color="auto"/>
        <w:bottom w:val="none" w:sz="0" w:space="0" w:color="auto"/>
        <w:right w:val="none" w:sz="0" w:space="0" w:color="auto"/>
      </w:divBdr>
    </w:div>
    <w:div w:id="891037088">
      <w:bodyDiv w:val="1"/>
      <w:marLeft w:val="0"/>
      <w:marRight w:val="0"/>
      <w:marTop w:val="0"/>
      <w:marBottom w:val="0"/>
      <w:divBdr>
        <w:top w:val="none" w:sz="0" w:space="0" w:color="auto"/>
        <w:left w:val="none" w:sz="0" w:space="0" w:color="auto"/>
        <w:bottom w:val="none" w:sz="0" w:space="0" w:color="auto"/>
        <w:right w:val="none" w:sz="0" w:space="0" w:color="auto"/>
      </w:divBdr>
    </w:div>
    <w:div w:id="894702652">
      <w:bodyDiv w:val="1"/>
      <w:marLeft w:val="0"/>
      <w:marRight w:val="0"/>
      <w:marTop w:val="0"/>
      <w:marBottom w:val="0"/>
      <w:divBdr>
        <w:top w:val="none" w:sz="0" w:space="0" w:color="auto"/>
        <w:left w:val="none" w:sz="0" w:space="0" w:color="auto"/>
        <w:bottom w:val="none" w:sz="0" w:space="0" w:color="auto"/>
        <w:right w:val="none" w:sz="0" w:space="0" w:color="auto"/>
      </w:divBdr>
    </w:div>
    <w:div w:id="902449809">
      <w:bodyDiv w:val="1"/>
      <w:marLeft w:val="0"/>
      <w:marRight w:val="0"/>
      <w:marTop w:val="0"/>
      <w:marBottom w:val="0"/>
      <w:divBdr>
        <w:top w:val="none" w:sz="0" w:space="0" w:color="auto"/>
        <w:left w:val="none" w:sz="0" w:space="0" w:color="auto"/>
        <w:bottom w:val="none" w:sz="0" w:space="0" w:color="auto"/>
        <w:right w:val="none" w:sz="0" w:space="0" w:color="auto"/>
      </w:divBdr>
    </w:div>
    <w:div w:id="927083886">
      <w:bodyDiv w:val="1"/>
      <w:marLeft w:val="0"/>
      <w:marRight w:val="0"/>
      <w:marTop w:val="0"/>
      <w:marBottom w:val="0"/>
      <w:divBdr>
        <w:top w:val="none" w:sz="0" w:space="0" w:color="auto"/>
        <w:left w:val="none" w:sz="0" w:space="0" w:color="auto"/>
        <w:bottom w:val="none" w:sz="0" w:space="0" w:color="auto"/>
        <w:right w:val="none" w:sz="0" w:space="0" w:color="auto"/>
      </w:divBdr>
    </w:div>
    <w:div w:id="935942040">
      <w:bodyDiv w:val="1"/>
      <w:marLeft w:val="0"/>
      <w:marRight w:val="0"/>
      <w:marTop w:val="0"/>
      <w:marBottom w:val="0"/>
      <w:divBdr>
        <w:top w:val="none" w:sz="0" w:space="0" w:color="auto"/>
        <w:left w:val="none" w:sz="0" w:space="0" w:color="auto"/>
        <w:bottom w:val="none" w:sz="0" w:space="0" w:color="auto"/>
        <w:right w:val="none" w:sz="0" w:space="0" w:color="auto"/>
      </w:divBdr>
    </w:div>
    <w:div w:id="936401030">
      <w:bodyDiv w:val="1"/>
      <w:marLeft w:val="0"/>
      <w:marRight w:val="0"/>
      <w:marTop w:val="0"/>
      <w:marBottom w:val="0"/>
      <w:divBdr>
        <w:top w:val="none" w:sz="0" w:space="0" w:color="auto"/>
        <w:left w:val="none" w:sz="0" w:space="0" w:color="auto"/>
        <w:bottom w:val="none" w:sz="0" w:space="0" w:color="auto"/>
        <w:right w:val="none" w:sz="0" w:space="0" w:color="auto"/>
      </w:divBdr>
    </w:div>
    <w:div w:id="944388302">
      <w:bodyDiv w:val="1"/>
      <w:marLeft w:val="0"/>
      <w:marRight w:val="0"/>
      <w:marTop w:val="0"/>
      <w:marBottom w:val="0"/>
      <w:divBdr>
        <w:top w:val="none" w:sz="0" w:space="0" w:color="auto"/>
        <w:left w:val="none" w:sz="0" w:space="0" w:color="auto"/>
        <w:bottom w:val="none" w:sz="0" w:space="0" w:color="auto"/>
        <w:right w:val="none" w:sz="0" w:space="0" w:color="auto"/>
      </w:divBdr>
    </w:div>
    <w:div w:id="948004226">
      <w:bodyDiv w:val="1"/>
      <w:marLeft w:val="0"/>
      <w:marRight w:val="0"/>
      <w:marTop w:val="0"/>
      <w:marBottom w:val="0"/>
      <w:divBdr>
        <w:top w:val="none" w:sz="0" w:space="0" w:color="auto"/>
        <w:left w:val="none" w:sz="0" w:space="0" w:color="auto"/>
        <w:bottom w:val="none" w:sz="0" w:space="0" w:color="auto"/>
        <w:right w:val="none" w:sz="0" w:space="0" w:color="auto"/>
      </w:divBdr>
    </w:div>
    <w:div w:id="950160428">
      <w:bodyDiv w:val="1"/>
      <w:marLeft w:val="0"/>
      <w:marRight w:val="0"/>
      <w:marTop w:val="0"/>
      <w:marBottom w:val="0"/>
      <w:divBdr>
        <w:top w:val="none" w:sz="0" w:space="0" w:color="auto"/>
        <w:left w:val="none" w:sz="0" w:space="0" w:color="auto"/>
        <w:bottom w:val="none" w:sz="0" w:space="0" w:color="auto"/>
        <w:right w:val="none" w:sz="0" w:space="0" w:color="auto"/>
      </w:divBdr>
    </w:div>
    <w:div w:id="979846433">
      <w:bodyDiv w:val="1"/>
      <w:marLeft w:val="0"/>
      <w:marRight w:val="0"/>
      <w:marTop w:val="0"/>
      <w:marBottom w:val="0"/>
      <w:divBdr>
        <w:top w:val="none" w:sz="0" w:space="0" w:color="auto"/>
        <w:left w:val="none" w:sz="0" w:space="0" w:color="auto"/>
        <w:bottom w:val="none" w:sz="0" w:space="0" w:color="auto"/>
        <w:right w:val="none" w:sz="0" w:space="0" w:color="auto"/>
      </w:divBdr>
    </w:div>
    <w:div w:id="995301903">
      <w:bodyDiv w:val="1"/>
      <w:marLeft w:val="0"/>
      <w:marRight w:val="0"/>
      <w:marTop w:val="0"/>
      <w:marBottom w:val="0"/>
      <w:divBdr>
        <w:top w:val="none" w:sz="0" w:space="0" w:color="auto"/>
        <w:left w:val="none" w:sz="0" w:space="0" w:color="auto"/>
        <w:bottom w:val="none" w:sz="0" w:space="0" w:color="auto"/>
        <w:right w:val="none" w:sz="0" w:space="0" w:color="auto"/>
      </w:divBdr>
    </w:div>
    <w:div w:id="1001810640">
      <w:bodyDiv w:val="1"/>
      <w:marLeft w:val="0"/>
      <w:marRight w:val="0"/>
      <w:marTop w:val="0"/>
      <w:marBottom w:val="0"/>
      <w:divBdr>
        <w:top w:val="none" w:sz="0" w:space="0" w:color="auto"/>
        <w:left w:val="none" w:sz="0" w:space="0" w:color="auto"/>
        <w:bottom w:val="none" w:sz="0" w:space="0" w:color="auto"/>
        <w:right w:val="none" w:sz="0" w:space="0" w:color="auto"/>
      </w:divBdr>
    </w:div>
    <w:div w:id="1004743656">
      <w:bodyDiv w:val="1"/>
      <w:marLeft w:val="0"/>
      <w:marRight w:val="0"/>
      <w:marTop w:val="0"/>
      <w:marBottom w:val="0"/>
      <w:divBdr>
        <w:top w:val="none" w:sz="0" w:space="0" w:color="auto"/>
        <w:left w:val="none" w:sz="0" w:space="0" w:color="auto"/>
        <w:bottom w:val="none" w:sz="0" w:space="0" w:color="auto"/>
        <w:right w:val="none" w:sz="0" w:space="0" w:color="auto"/>
      </w:divBdr>
    </w:div>
    <w:div w:id="1014112364">
      <w:bodyDiv w:val="1"/>
      <w:marLeft w:val="0"/>
      <w:marRight w:val="0"/>
      <w:marTop w:val="0"/>
      <w:marBottom w:val="0"/>
      <w:divBdr>
        <w:top w:val="none" w:sz="0" w:space="0" w:color="auto"/>
        <w:left w:val="none" w:sz="0" w:space="0" w:color="auto"/>
        <w:bottom w:val="none" w:sz="0" w:space="0" w:color="auto"/>
        <w:right w:val="none" w:sz="0" w:space="0" w:color="auto"/>
      </w:divBdr>
    </w:div>
    <w:div w:id="1049190735">
      <w:bodyDiv w:val="1"/>
      <w:marLeft w:val="0"/>
      <w:marRight w:val="0"/>
      <w:marTop w:val="0"/>
      <w:marBottom w:val="0"/>
      <w:divBdr>
        <w:top w:val="none" w:sz="0" w:space="0" w:color="auto"/>
        <w:left w:val="none" w:sz="0" w:space="0" w:color="auto"/>
        <w:bottom w:val="none" w:sz="0" w:space="0" w:color="auto"/>
        <w:right w:val="none" w:sz="0" w:space="0" w:color="auto"/>
      </w:divBdr>
    </w:div>
    <w:div w:id="1052654915">
      <w:bodyDiv w:val="1"/>
      <w:marLeft w:val="0"/>
      <w:marRight w:val="0"/>
      <w:marTop w:val="0"/>
      <w:marBottom w:val="0"/>
      <w:divBdr>
        <w:top w:val="none" w:sz="0" w:space="0" w:color="auto"/>
        <w:left w:val="none" w:sz="0" w:space="0" w:color="auto"/>
        <w:bottom w:val="none" w:sz="0" w:space="0" w:color="auto"/>
        <w:right w:val="none" w:sz="0" w:space="0" w:color="auto"/>
      </w:divBdr>
    </w:div>
    <w:div w:id="1061752220">
      <w:bodyDiv w:val="1"/>
      <w:marLeft w:val="0"/>
      <w:marRight w:val="0"/>
      <w:marTop w:val="0"/>
      <w:marBottom w:val="0"/>
      <w:divBdr>
        <w:top w:val="none" w:sz="0" w:space="0" w:color="auto"/>
        <w:left w:val="none" w:sz="0" w:space="0" w:color="auto"/>
        <w:bottom w:val="none" w:sz="0" w:space="0" w:color="auto"/>
        <w:right w:val="none" w:sz="0" w:space="0" w:color="auto"/>
      </w:divBdr>
    </w:div>
    <w:div w:id="1079135451">
      <w:bodyDiv w:val="1"/>
      <w:marLeft w:val="0"/>
      <w:marRight w:val="0"/>
      <w:marTop w:val="0"/>
      <w:marBottom w:val="0"/>
      <w:divBdr>
        <w:top w:val="none" w:sz="0" w:space="0" w:color="auto"/>
        <w:left w:val="none" w:sz="0" w:space="0" w:color="auto"/>
        <w:bottom w:val="none" w:sz="0" w:space="0" w:color="auto"/>
        <w:right w:val="none" w:sz="0" w:space="0" w:color="auto"/>
      </w:divBdr>
    </w:div>
    <w:div w:id="1083838151">
      <w:bodyDiv w:val="1"/>
      <w:marLeft w:val="0"/>
      <w:marRight w:val="0"/>
      <w:marTop w:val="0"/>
      <w:marBottom w:val="0"/>
      <w:divBdr>
        <w:top w:val="none" w:sz="0" w:space="0" w:color="auto"/>
        <w:left w:val="none" w:sz="0" w:space="0" w:color="auto"/>
        <w:bottom w:val="none" w:sz="0" w:space="0" w:color="auto"/>
        <w:right w:val="none" w:sz="0" w:space="0" w:color="auto"/>
      </w:divBdr>
    </w:div>
    <w:div w:id="1085808548">
      <w:bodyDiv w:val="1"/>
      <w:marLeft w:val="0"/>
      <w:marRight w:val="0"/>
      <w:marTop w:val="0"/>
      <w:marBottom w:val="0"/>
      <w:divBdr>
        <w:top w:val="none" w:sz="0" w:space="0" w:color="auto"/>
        <w:left w:val="none" w:sz="0" w:space="0" w:color="auto"/>
        <w:bottom w:val="none" w:sz="0" w:space="0" w:color="auto"/>
        <w:right w:val="none" w:sz="0" w:space="0" w:color="auto"/>
      </w:divBdr>
    </w:div>
    <w:div w:id="1087384631">
      <w:bodyDiv w:val="1"/>
      <w:marLeft w:val="0"/>
      <w:marRight w:val="0"/>
      <w:marTop w:val="0"/>
      <w:marBottom w:val="0"/>
      <w:divBdr>
        <w:top w:val="none" w:sz="0" w:space="0" w:color="auto"/>
        <w:left w:val="none" w:sz="0" w:space="0" w:color="auto"/>
        <w:bottom w:val="none" w:sz="0" w:space="0" w:color="auto"/>
        <w:right w:val="none" w:sz="0" w:space="0" w:color="auto"/>
      </w:divBdr>
    </w:div>
    <w:div w:id="1088387999">
      <w:bodyDiv w:val="1"/>
      <w:marLeft w:val="0"/>
      <w:marRight w:val="0"/>
      <w:marTop w:val="0"/>
      <w:marBottom w:val="0"/>
      <w:divBdr>
        <w:top w:val="none" w:sz="0" w:space="0" w:color="auto"/>
        <w:left w:val="none" w:sz="0" w:space="0" w:color="auto"/>
        <w:bottom w:val="none" w:sz="0" w:space="0" w:color="auto"/>
        <w:right w:val="none" w:sz="0" w:space="0" w:color="auto"/>
      </w:divBdr>
    </w:div>
    <w:div w:id="1089350243">
      <w:bodyDiv w:val="1"/>
      <w:marLeft w:val="0"/>
      <w:marRight w:val="0"/>
      <w:marTop w:val="0"/>
      <w:marBottom w:val="0"/>
      <w:divBdr>
        <w:top w:val="none" w:sz="0" w:space="0" w:color="auto"/>
        <w:left w:val="none" w:sz="0" w:space="0" w:color="auto"/>
        <w:bottom w:val="none" w:sz="0" w:space="0" w:color="auto"/>
        <w:right w:val="none" w:sz="0" w:space="0" w:color="auto"/>
      </w:divBdr>
    </w:div>
    <w:div w:id="1102457820">
      <w:bodyDiv w:val="1"/>
      <w:marLeft w:val="0"/>
      <w:marRight w:val="0"/>
      <w:marTop w:val="0"/>
      <w:marBottom w:val="0"/>
      <w:divBdr>
        <w:top w:val="none" w:sz="0" w:space="0" w:color="auto"/>
        <w:left w:val="none" w:sz="0" w:space="0" w:color="auto"/>
        <w:bottom w:val="none" w:sz="0" w:space="0" w:color="auto"/>
        <w:right w:val="none" w:sz="0" w:space="0" w:color="auto"/>
      </w:divBdr>
    </w:div>
    <w:div w:id="1108281499">
      <w:bodyDiv w:val="1"/>
      <w:marLeft w:val="0"/>
      <w:marRight w:val="0"/>
      <w:marTop w:val="0"/>
      <w:marBottom w:val="0"/>
      <w:divBdr>
        <w:top w:val="none" w:sz="0" w:space="0" w:color="auto"/>
        <w:left w:val="none" w:sz="0" w:space="0" w:color="auto"/>
        <w:bottom w:val="none" w:sz="0" w:space="0" w:color="auto"/>
        <w:right w:val="none" w:sz="0" w:space="0" w:color="auto"/>
      </w:divBdr>
    </w:div>
    <w:div w:id="1116674972">
      <w:bodyDiv w:val="1"/>
      <w:marLeft w:val="0"/>
      <w:marRight w:val="0"/>
      <w:marTop w:val="0"/>
      <w:marBottom w:val="0"/>
      <w:divBdr>
        <w:top w:val="none" w:sz="0" w:space="0" w:color="auto"/>
        <w:left w:val="none" w:sz="0" w:space="0" w:color="auto"/>
        <w:bottom w:val="none" w:sz="0" w:space="0" w:color="auto"/>
        <w:right w:val="none" w:sz="0" w:space="0" w:color="auto"/>
      </w:divBdr>
    </w:div>
    <w:div w:id="1119420669">
      <w:bodyDiv w:val="1"/>
      <w:marLeft w:val="0"/>
      <w:marRight w:val="0"/>
      <w:marTop w:val="0"/>
      <w:marBottom w:val="0"/>
      <w:divBdr>
        <w:top w:val="none" w:sz="0" w:space="0" w:color="auto"/>
        <w:left w:val="none" w:sz="0" w:space="0" w:color="auto"/>
        <w:bottom w:val="none" w:sz="0" w:space="0" w:color="auto"/>
        <w:right w:val="none" w:sz="0" w:space="0" w:color="auto"/>
      </w:divBdr>
    </w:div>
    <w:div w:id="1134445174">
      <w:bodyDiv w:val="1"/>
      <w:marLeft w:val="0"/>
      <w:marRight w:val="0"/>
      <w:marTop w:val="0"/>
      <w:marBottom w:val="0"/>
      <w:divBdr>
        <w:top w:val="none" w:sz="0" w:space="0" w:color="auto"/>
        <w:left w:val="none" w:sz="0" w:space="0" w:color="auto"/>
        <w:bottom w:val="none" w:sz="0" w:space="0" w:color="auto"/>
        <w:right w:val="none" w:sz="0" w:space="0" w:color="auto"/>
      </w:divBdr>
    </w:div>
    <w:div w:id="1139303239">
      <w:bodyDiv w:val="1"/>
      <w:marLeft w:val="0"/>
      <w:marRight w:val="0"/>
      <w:marTop w:val="0"/>
      <w:marBottom w:val="0"/>
      <w:divBdr>
        <w:top w:val="none" w:sz="0" w:space="0" w:color="auto"/>
        <w:left w:val="none" w:sz="0" w:space="0" w:color="auto"/>
        <w:bottom w:val="none" w:sz="0" w:space="0" w:color="auto"/>
        <w:right w:val="none" w:sz="0" w:space="0" w:color="auto"/>
      </w:divBdr>
    </w:div>
    <w:div w:id="1148478372">
      <w:bodyDiv w:val="1"/>
      <w:marLeft w:val="0"/>
      <w:marRight w:val="0"/>
      <w:marTop w:val="0"/>
      <w:marBottom w:val="0"/>
      <w:divBdr>
        <w:top w:val="none" w:sz="0" w:space="0" w:color="auto"/>
        <w:left w:val="none" w:sz="0" w:space="0" w:color="auto"/>
        <w:bottom w:val="none" w:sz="0" w:space="0" w:color="auto"/>
        <w:right w:val="none" w:sz="0" w:space="0" w:color="auto"/>
      </w:divBdr>
    </w:div>
    <w:div w:id="1208568534">
      <w:bodyDiv w:val="1"/>
      <w:marLeft w:val="0"/>
      <w:marRight w:val="0"/>
      <w:marTop w:val="0"/>
      <w:marBottom w:val="0"/>
      <w:divBdr>
        <w:top w:val="none" w:sz="0" w:space="0" w:color="auto"/>
        <w:left w:val="none" w:sz="0" w:space="0" w:color="auto"/>
        <w:bottom w:val="none" w:sz="0" w:space="0" w:color="auto"/>
        <w:right w:val="none" w:sz="0" w:space="0" w:color="auto"/>
      </w:divBdr>
    </w:div>
    <w:div w:id="1241063790">
      <w:bodyDiv w:val="1"/>
      <w:marLeft w:val="0"/>
      <w:marRight w:val="0"/>
      <w:marTop w:val="0"/>
      <w:marBottom w:val="0"/>
      <w:divBdr>
        <w:top w:val="none" w:sz="0" w:space="0" w:color="auto"/>
        <w:left w:val="none" w:sz="0" w:space="0" w:color="auto"/>
        <w:bottom w:val="none" w:sz="0" w:space="0" w:color="auto"/>
        <w:right w:val="none" w:sz="0" w:space="0" w:color="auto"/>
      </w:divBdr>
    </w:div>
    <w:div w:id="1255894694">
      <w:bodyDiv w:val="1"/>
      <w:marLeft w:val="0"/>
      <w:marRight w:val="0"/>
      <w:marTop w:val="0"/>
      <w:marBottom w:val="0"/>
      <w:divBdr>
        <w:top w:val="none" w:sz="0" w:space="0" w:color="auto"/>
        <w:left w:val="none" w:sz="0" w:space="0" w:color="auto"/>
        <w:bottom w:val="none" w:sz="0" w:space="0" w:color="auto"/>
        <w:right w:val="none" w:sz="0" w:space="0" w:color="auto"/>
      </w:divBdr>
    </w:div>
    <w:div w:id="1266840115">
      <w:bodyDiv w:val="1"/>
      <w:marLeft w:val="0"/>
      <w:marRight w:val="0"/>
      <w:marTop w:val="0"/>
      <w:marBottom w:val="0"/>
      <w:divBdr>
        <w:top w:val="none" w:sz="0" w:space="0" w:color="auto"/>
        <w:left w:val="none" w:sz="0" w:space="0" w:color="auto"/>
        <w:bottom w:val="none" w:sz="0" w:space="0" w:color="auto"/>
        <w:right w:val="none" w:sz="0" w:space="0" w:color="auto"/>
      </w:divBdr>
    </w:div>
    <w:div w:id="1271280440">
      <w:bodyDiv w:val="1"/>
      <w:marLeft w:val="0"/>
      <w:marRight w:val="0"/>
      <w:marTop w:val="0"/>
      <w:marBottom w:val="0"/>
      <w:divBdr>
        <w:top w:val="none" w:sz="0" w:space="0" w:color="auto"/>
        <w:left w:val="none" w:sz="0" w:space="0" w:color="auto"/>
        <w:bottom w:val="none" w:sz="0" w:space="0" w:color="auto"/>
        <w:right w:val="none" w:sz="0" w:space="0" w:color="auto"/>
      </w:divBdr>
    </w:div>
    <w:div w:id="1276135578">
      <w:bodyDiv w:val="1"/>
      <w:marLeft w:val="0"/>
      <w:marRight w:val="0"/>
      <w:marTop w:val="0"/>
      <w:marBottom w:val="0"/>
      <w:divBdr>
        <w:top w:val="none" w:sz="0" w:space="0" w:color="auto"/>
        <w:left w:val="none" w:sz="0" w:space="0" w:color="auto"/>
        <w:bottom w:val="none" w:sz="0" w:space="0" w:color="auto"/>
        <w:right w:val="none" w:sz="0" w:space="0" w:color="auto"/>
      </w:divBdr>
    </w:div>
    <w:div w:id="1281767414">
      <w:bodyDiv w:val="1"/>
      <w:marLeft w:val="0"/>
      <w:marRight w:val="0"/>
      <w:marTop w:val="0"/>
      <w:marBottom w:val="0"/>
      <w:divBdr>
        <w:top w:val="none" w:sz="0" w:space="0" w:color="auto"/>
        <w:left w:val="none" w:sz="0" w:space="0" w:color="auto"/>
        <w:bottom w:val="none" w:sz="0" w:space="0" w:color="auto"/>
        <w:right w:val="none" w:sz="0" w:space="0" w:color="auto"/>
      </w:divBdr>
    </w:div>
    <w:div w:id="1319384983">
      <w:bodyDiv w:val="1"/>
      <w:marLeft w:val="0"/>
      <w:marRight w:val="0"/>
      <w:marTop w:val="0"/>
      <w:marBottom w:val="0"/>
      <w:divBdr>
        <w:top w:val="none" w:sz="0" w:space="0" w:color="auto"/>
        <w:left w:val="none" w:sz="0" w:space="0" w:color="auto"/>
        <w:bottom w:val="none" w:sz="0" w:space="0" w:color="auto"/>
        <w:right w:val="none" w:sz="0" w:space="0" w:color="auto"/>
      </w:divBdr>
    </w:div>
    <w:div w:id="1334724114">
      <w:bodyDiv w:val="1"/>
      <w:marLeft w:val="0"/>
      <w:marRight w:val="0"/>
      <w:marTop w:val="0"/>
      <w:marBottom w:val="0"/>
      <w:divBdr>
        <w:top w:val="none" w:sz="0" w:space="0" w:color="auto"/>
        <w:left w:val="none" w:sz="0" w:space="0" w:color="auto"/>
        <w:bottom w:val="none" w:sz="0" w:space="0" w:color="auto"/>
        <w:right w:val="none" w:sz="0" w:space="0" w:color="auto"/>
      </w:divBdr>
    </w:div>
    <w:div w:id="1342270210">
      <w:bodyDiv w:val="1"/>
      <w:marLeft w:val="0"/>
      <w:marRight w:val="0"/>
      <w:marTop w:val="0"/>
      <w:marBottom w:val="0"/>
      <w:divBdr>
        <w:top w:val="none" w:sz="0" w:space="0" w:color="auto"/>
        <w:left w:val="none" w:sz="0" w:space="0" w:color="auto"/>
        <w:bottom w:val="none" w:sz="0" w:space="0" w:color="auto"/>
        <w:right w:val="none" w:sz="0" w:space="0" w:color="auto"/>
      </w:divBdr>
    </w:div>
    <w:div w:id="1352493183">
      <w:bodyDiv w:val="1"/>
      <w:marLeft w:val="0"/>
      <w:marRight w:val="0"/>
      <w:marTop w:val="0"/>
      <w:marBottom w:val="0"/>
      <w:divBdr>
        <w:top w:val="none" w:sz="0" w:space="0" w:color="auto"/>
        <w:left w:val="none" w:sz="0" w:space="0" w:color="auto"/>
        <w:bottom w:val="none" w:sz="0" w:space="0" w:color="auto"/>
        <w:right w:val="none" w:sz="0" w:space="0" w:color="auto"/>
      </w:divBdr>
    </w:div>
    <w:div w:id="1358853949">
      <w:bodyDiv w:val="1"/>
      <w:marLeft w:val="0"/>
      <w:marRight w:val="0"/>
      <w:marTop w:val="0"/>
      <w:marBottom w:val="0"/>
      <w:divBdr>
        <w:top w:val="none" w:sz="0" w:space="0" w:color="auto"/>
        <w:left w:val="none" w:sz="0" w:space="0" w:color="auto"/>
        <w:bottom w:val="none" w:sz="0" w:space="0" w:color="auto"/>
        <w:right w:val="none" w:sz="0" w:space="0" w:color="auto"/>
      </w:divBdr>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
    <w:div w:id="1388794132">
      <w:bodyDiv w:val="1"/>
      <w:marLeft w:val="0"/>
      <w:marRight w:val="0"/>
      <w:marTop w:val="0"/>
      <w:marBottom w:val="0"/>
      <w:divBdr>
        <w:top w:val="none" w:sz="0" w:space="0" w:color="auto"/>
        <w:left w:val="none" w:sz="0" w:space="0" w:color="auto"/>
        <w:bottom w:val="none" w:sz="0" w:space="0" w:color="auto"/>
        <w:right w:val="none" w:sz="0" w:space="0" w:color="auto"/>
      </w:divBdr>
    </w:div>
    <w:div w:id="1434084851">
      <w:bodyDiv w:val="1"/>
      <w:marLeft w:val="0"/>
      <w:marRight w:val="0"/>
      <w:marTop w:val="0"/>
      <w:marBottom w:val="0"/>
      <w:divBdr>
        <w:top w:val="none" w:sz="0" w:space="0" w:color="auto"/>
        <w:left w:val="none" w:sz="0" w:space="0" w:color="auto"/>
        <w:bottom w:val="none" w:sz="0" w:space="0" w:color="auto"/>
        <w:right w:val="none" w:sz="0" w:space="0" w:color="auto"/>
      </w:divBdr>
    </w:div>
    <w:div w:id="1441144442">
      <w:bodyDiv w:val="1"/>
      <w:marLeft w:val="0"/>
      <w:marRight w:val="0"/>
      <w:marTop w:val="0"/>
      <w:marBottom w:val="0"/>
      <w:divBdr>
        <w:top w:val="none" w:sz="0" w:space="0" w:color="auto"/>
        <w:left w:val="none" w:sz="0" w:space="0" w:color="auto"/>
        <w:bottom w:val="none" w:sz="0" w:space="0" w:color="auto"/>
        <w:right w:val="none" w:sz="0" w:space="0" w:color="auto"/>
      </w:divBdr>
    </w:div>
    <w:div w:id="1457140593">
      <w:bodyDiv w:val="1"/>
      <w:marLeft w:val="0"/>
      <w:marRight w:val="0"/>
      <w:marTop w:val="0"/>
      <w:marBottom w:val="0"/>
      <w:divBdr>
        <w:top w:val="none" w:sz="0" w:space="0" w:color="auto"/>
        <w:left w:val="none" w:sz="0" w:space="0" w:color="auto"/>
        <w:bottom w:val="none" w:sz="0" w:space="0" w:color="auto"/>
        <w:right w:val="none" w:sz="0" w:space="0" w:color="auto"/>
      </w:divBdr>
    </w:div>
    <w:div w:id="1479110176">
      <w:bodyDiv w:val="1"/>
      <w:marLeft w:val="0"/>
      <w:marRight w:val="0"/>
      <w:marTop w:val="0"/>
      <w:marBottom w:val="0"/>
      <w:divBdr>
        <w:top w:val="none" w:sz="0" w:space="0" w:color="auto"/>
        <w:left w:val="none" w:sz="0" w:space="0" w:color="auto"/>
        <w:bottom w:val="none" w:sz="0" w:space="0" w:color="auto"/>
        <w:right w:val="none" w:sz="0" w:space="0" w:color="auto"/>
      </w:divBdr>
    </w:div>
    <w:div w:id="1480228460">
      <w:bodyDiv w:val="1"/>
      <w:marLeft w:val="0"/>
      <w:marRight w:val="0"/>
      <w:marTop w:val="0"/>
      <w:marBottom w:val="0"/>
      <w:divBdr>
        <w:top w:val="none" w:sz="0" w:space="0" w:color="auto"/>
        <w:left w:val="none" w:sz="0" w:space="0" w:color="auto"/>
        <w:bottom w:val="none" w:sz="0" w:space="0" w:color="auto"/>
        <w:right w:val="none" w:sz="0" w:space="0" w:color="auto"/>
      </w:divBdr>
    </w:div>
    <w:div w:id="1499928021">
      <w:bodyDiv w:val="1"/>
      <w:marLeft w:val="0"/>
      <w:marRight w:val="0"/>
      <w:marTop w:val="0"/>
      <w:marBottom w:val="0"/>
      <w:divBdr>
        <w:top w:val="none" w:sz="0" w:space="0" w:color="auto"/>
        <w:left w:val="none" w:sz="0" w:space="0" w:color="auto"/>
        <w:bottom w:val="none" w:sz="0" w:space="0" w:color="auto"/>
        <w:right w:val="none" w:sz="0" w:space="0" w:color="auto"/>
      </w:divBdr>
    </w:div>
    <w:div w:id="1500073282">
      <w:bodyDiv w:val="1"/>
      <w:marLeft w:val="0"/>
      <w:marRight w:val="0"/>
      <w:marTop w:val="0"/>
      <w:marBottom w:val="0"/>
      <w:divBdr>
        <w:top w:val="none" w:sz="0" w:space="0" w:color="auto"/>
        <w:left w:val="none" w:sz="0" w:space="0" w:color="auto"/>
        <w:bottom w:val="none" w:sz="0" w:space="0" w:color="auto"/>
        <w:right w:val="none" w:sz="0" w:space="0" w:color="auto"/>
      </w:divBdr>
    </w:div>
    <w:div w:id="1507596114">
      <w:bodyDiv w:val="1"/>
      <w:marLeft w:val="0"/>
      <w:marRight w:val="0"/>
      <w:marTop w:val="0"/>
      <w:marBottom w:val="0"/>
      <w:divBdr>
        <w:top w:val="none" w:sz="0" w:space="0" w:color="auto"/>
        <w:left w:val="none" w:sz="0" w:space="0" w:color="auto"/>
        <w:bottom w:val="none" w:sz="0" w:space="0" w:color="auto"/>
        <w:right w:val="none" w:sz="0" w:space="0" w:color="auto"/>
      </w:divBdr>
    </w:div>
    <w:div w:id="1514681865">
      <w:bodyDiv w:val="1"/>
      <w:marLeft w:val="0"/>
      <w:marRight w:val="0"/>
      <w:marTop w:val="0"/>
      <w:marBottom w:val="0"/>
      <w:divBdr>
        <w:top w:val="none" w:sz="0" w:space="0" w:color="auto"/>
        <w:left w:val="none" w:sz="0" w:space="0" w:color="auto"/>
        <w:bottom w:val="none" w:sz="0" w:space="0" w:color="auto"/>
        <w:right w:val="none" w:sz="0" w:space="0" w:color="auto"/>
      </w:divBdr>
    </w:div>
    <w:div w:id="1541865731">
      <w:bodyDiv w:val="1"/>
      <w:marLeft w:val="0"/>
      <w:marRight w:val="0"/>
      <w:marTop w:val="0"/>
      <w:marBottom w:val="0"/>
      <w:divBdr>
        <w:top w:val="none" w:sz="0" w:space="0" w:color="auto"/>
        <w:left w:val="none" w:sz="0" w:space="0" w:color="auto"/>
        <w:bottom w:val="none" w:sz="0" w:space="0" w:color="auto"/>
        <w:right w:val="none" w:sz="0" w:space="0" w:color="auto"/>
      </w:divBdr>
    </w:div>
    <w:div w:id="1542748407">
      <w:bodyDiv w:val="1"/>
      <w:marLeft w:val="0"/>
      <w:marRight w:val="0"/>
      <w:marTop w:val="0"/>
      <w:marBottom w:val="0"/>
      <w:divBdr>
        <w:top w:val="none" w:sz="0" w:space="0" w:color="auto"/>
        <w:left w:val="none" w:sz="0" w:space="0" w:color="auto"/>
        <w:bottom w:val="none" w:sz="0" w:space="0" w:color="auto"/>
        <w:right w:val="none" w:sz="0" w:space="0" w:color="auto"/>
      </w:divBdr>
    </w:div>
    <w:div w:id="1554004595">
      <w:bodyDiv w:val="1"/>
      <w:marLeft w:val="0"/>
      <w:marRight w:val="0"/>
      <w:marTop w:val="0"/>
      <w:marBottom w:val="0"/>
      <w:divBdr>
        <w:top w:val="none" w:sz="0" w:space="0" w:color="auto"/>
        <w:left w:val="none" w:sz="0" w:space="0" w:color="auto"/>
        <w:bottom w:val="none" w:sz="0" w:space="0" w:color="auto"/>
        <w:right w:val="none" w:sz="0" w:space="0" w:color="auto"/>
      </w:divBdr>
    </w:div>
    <w:div w:id="1554848863">
      <w:bodyDiv w:val="1"/>
      <w:marLeft w:val="0"/>
      <w:marRight w:val="0"/>
      <w:marTop w:val="0"/>
      <w:marBottom w:val="0"/>
      <w:divBdr>
        <w:top w:val="none" w:sz="0" w:space="0" w:color="auto"/>
        <w:left w:val="none" w:sz="0" w:space="0" w:color="auto"/>
        <w:bottom w:val="none" w:sz="0" w:space="0" w:color="auto"/>
        <w:right w:val="none" w:sz="0" w:space="0" w:color="auto"/>
      </w:divBdr>
    </w:div>
    <w:div w:id="1582254897">
      <w:bodyDiv w:val="1"/>
      <w:marLeft w:val="0"/>
      <w:marRight w:val="0"/>
      <w:marTop w:val="0"/>
      <w:marBottom w:val="0"/>
      <w:divBdr>
        <w:top w:val="none" w:sz="0" w:space="0" w:color="auto"/>
        <w:left w:val="none" w:sz="0" w:space="0" w:color="auto"/>
        <w:bottom w:val="none" w:sz="0" w:space="0" w:color="auto"/>
        <w:right w:val="none" w:sz="0" w:space="0" w:color="auto"/>
      </w:divBdr>
    </w:div>
    <w:div w:id="1583642373">
      <w:bodyDiv w:val="1"/>
      <w:marLeft w:val="0"/>
      <w:marRight w:val="0"/>
      <w:marTop w:val="0"/>
      <w:marBottom w:val="0"/>
      <w:divBdr>
        <w:top w:val="none" w:sz="0" w:space="0" w:color="auto"/>
        <w:left w:val="none" w:sz="0" w:space="0" w:color="auto"/>
        <w:bottom w:val="none" w:sz="0" w:space="0" w:color="auto"/>
        <w:right w:val="none" w:sz="0" w:space="0" w:color="auto"/>
      </w:divBdr>
    </w:div>
    <w:div w:id="1587374376">
      <w:bodyDiv w:val="1"/>
      <w:marLeft w:val="0"/>
      <w:marRight w:val="0"/>
      <w:marTop w:val="0"/>
      <w:marBottom w:val="0"/>
      <w:divBdr>
        <w:top w:val="none" w:sz="0" w:space="0" w:color="auto"/>
        <w:left w:val="none" w:sz="0" w:space="0" w:color="auto"/>
        <w:bottom w:val="none" w:sz="0" w:space="0" w:color="auto"/>
        <w:right w:val="none" w:sz="0" w:space="0" w:color="auto"/>
      </w:divBdr>
    </w:div>
    <w:div w:id="1587496600">
      <w:bodyDiv w:val="1"/>
      <w:marLeft w:val="0"/>
      <w:marRight w:val="0"/>
      <w:marTop w:val="0"/>
      <w:marBottom w:val="0"/>
      <w:divBdr>
        <w:top w:val="none" w:sz="0" w:space="0" w:color="auto"/>
        <w:left w:val="none" w:sz="0" w:space="0" w:color="auto"/>
        <w:bottom w:val="none" w:sz="0" w:space="0" w:color="auto"/>
        <w:right w:val="none" w:sz="0" w:space="0" w:color="auto"/>
      </w:divBdr>
    </w:div>
    <w:div w:id="1594433118">
      <w:bodyDiv w:val="1"/>
      <w:marLeft w:val="0"/>
      <w:marRight w:val="0"/>
      <w:marTop w:val="0"/>
      <w:marBottom w:val="0"/>
      <w:divBdr>
        <w:top w:val="none" w:sz="0" w:space="0" w:color="auto"/>
        <w:left w:val="none" w:sz="0" w:space="0" w:color="auto"/>
        <w:bottom w:val="none" w:sz="0" w:space="0" w:color="auto"/>
        <w:right w:val="none" w:sz="0" w:space="0" w:color="auto"/>
      </w:divBdr>
    </w:div>
    <w:div w:id="1597441246">
      <w:bodyDiv w:val="1"/>
      <w:marLeft w:val="0"/>
      <w:marRight w:val="0"/>
      <w:marTop w:val="0"/>
      <w:marBottom w:val="0"/>
      <w:divBdr>
        <w:top w:val="none" w:sz="0" w:space="0" w:color="auto"/>
        <w:left w:val="none" w:sz="0" w:space="0" w:color="auto"/>
        <w:bottom w:val="none" w:sz="0" w:space="0" w:color="auto"/>
        <w:right w:val="none" w:sz="0" w:space="0" w:color="auto"/>
      </w:divBdr>
    </w:div>
    <w:div w:id="1602034403">
      <w:bodyDiv w:val="1"/>
      <w:marLeft w:val="0"/>
      <w:marRight w:val="0"/>
      <w:marTop w:val="0"/>
      <w:marBottom w:val="0"/>
      <w:divBdr>
        <w:top w:val="none" w:sz="0" w:space="0" w:color="auto"/>
        <w:left w:val="none" w:sz="0" w:space="0" w:color="auto"/>
        <w:bottom w:val="none" w:sz="0" w:space="0" w:color="auto"/>
        <w:right w:val="none" w:sz="0" w:space="0" w:color="auto"/>
      </w:divBdr>
    </w:div>
    <w:div w:id="1632323307">
      <w:bodyDiv w:val="1"/>
      <w:marLeft w:val="0"/>
      <w:marRight w:val="0"/>
      <w:marTop w:val="0"/>
      <w:marBottom w:val="0"/>
      <w:divBdr>
        <w:top w:val="none" w:sz="0" w:space="0" w:color="auto"/>
        <w:left w:val="none" w:sz="0" w:space="0" w:color="auto"/>
        <w:bottom w:val="none" w:sz="0" w:space="0" w:color="auto"/>
        <w:right w:val="none" w:sz="0" w:space="0" w:color="auto"/>
      </w:divBdr>
    </w:div>
    <w:div w:id="1644652296">
      <w:bodyDiv w:val="1"/>
      <w:marLeft w:val="0"/>
      <w:marRight w:val="0"/>
      <w:marTop w:val="0"/>
      <w:marBottom w:val="0"/>
      <w:divBdr>
        <w:top w:val="none" w:sz="0" w:space="0" w:color="auto"/>
        <w:left w:val="none" w:sz="0" w:space="0" w:color="auto"/>
        <w:bottom w:val="none" w:sz="0" w:space="0" w:color="auto"/>
        <w:right w:val="none" w:sz="0" w:space="0" w:color="auto"/>
      </w:divBdr>
    </w:div>
    <w:div w:id="1658920146">
      <w:bodyDiv w:val="1"/>
      <w:marLeft w:val="0"/>
      <w:marRight w:val="0"/>
      <w:marTop w:val="0"/>
      <w:marBottom w:val="0"/>
      <w:divBdr>
        <w:top w:val="none" w:sz="0" w:space="0" w:color="auto"/>
        <w:left w:val="none" w:sz="0" w:space="0" w:color="auto"/>
        <w:bottom w:val="none" w:sz="0" w:space="0" w:color="auto"/>
        <w:right w:val="none" w:sz="0" w:space="0" w:color="auto"/>
      </w:divBdr>
    </w:div>
    <w:div w:id="1673415779">
      <w:bodyDiv w:val="1"/>
      <w:marLeft w:val="0"/>
      <w:marRight w:val="0"/>
      <w:marTop w:val="0"/>
      <w:marBottom w:val="0"/>
      <w:divBdr>
        <w:top w:val="none" w:sz="0" w:space="0" w:color="auto"/>
        <w:left w:val="none" w:sz="0" w:space="0" w:color="auto"/>
        <w:bottom w:val="none" w:sz="0" w:space="0" w:color="auto"/>
        <w:right w:val="none" w:sz="0" w:space="0" w:color="auto"/>
      </w:divBdr>
    </w:div>
    <w:div w:id="1675760922">
      <w:bodyDiv w:val="1"/>
      <w:marLeft w:val="0"/>
      <w:marRight w:val="0"/>
      <w:marTop w:val="0"/>
      <w:marBottom w:val="0"/>
      <w:divBdr>
        <w:top w:val="none" w:sz="0" w:space="0" w:color="auto"/>
        <w:left w:val="none" w:sz="0" w:space="0" w:color="auto"/>
        <w:bottom w:val="none" w:sz="0" w:space="0" w:color="auto"/>
        <w:right w:val="none" w:sz="0" w:space="0" w:color="auto"/>
      </w:divBdr>
    </w:div>
    <w:div w:id="1696423163">
      <w:bodyDiv w:val="1"/>
      <w:marLeft w:val="0"/>
      <w:marRight w:val="0"/>
      <w:marTop w:val="0"/>
      <w:marBottom w:val="0"/>
      <w:divBdr>
        <w:top w:val="none" w:sz="0" w:space="0" w:color="auto"/>
        <w:left w:val="none" w:sz="0" w:space="0" w:color="auto"/>
        <w:bottom w:val="none" w:sz="0" w:space="0" w:color="auto"/>
        <w:right w:val="none" w:sz="0" w:space="0" w:color="auto"/>
      </w:divBdr>
    </w:div>
    <w:div w:id="1696811892">
      <w:bodyDiv w:val="1"/>
      <w:marLeft w:val="0"/>
      <w:marRight w:val="0"/>
      <w:marTop w:val="0"/>
      <w:marBottom w:val="0"/>
      <w:divBdr>
        <w:top w:val="none" w:sz="0" w:space="0" w:color="auto"/>
        <w:left w:val="none" w:sz="0" w:space="0" w:color="auto"/>
        <w:bottom w:val="none" w:sz="0" w:space="0" w:color="auto"/>
        <w:right w:val="none" w:sz="0" w:space="0" w:color="auto"/>
      </w:divBdr>
    </w:div>
    <w:div w:id="1701512427">
      <w:bodyDiv w:val="1"/>
      <w:marLeft w:val="0"/>
      <w:marRight w:val="0"/>
      <w:marTop w:val="0"/>
      <w:marBottom w:val="0"/>
      <w:divBdr>
        <w:top w:val="none" w:sz="0" w:space="0" w:color="auto"/>
        <w:left w:val="none" w:sz="0" w:space="0" w:color="auto"/>
        <w:bottom w:val="none" w:sz="0" w:space="0" w:color="auto"/>
        <w:right w:val="none" w:sz="0" w:space="0" w:color="auto"/>
      </w:divBdr>
    </w:div>
    <w:div w:id="1703289617">
      <w:bodyDiv w:val="1"/>
      <w:marLeft w:val="0"/>
      <w:marRight w:val="0"/>
      <w:marTop w:val="0"/>
      <w:marBottom w:val="0"/>
      <w:divBdr>
        <w:top w:val="none" w:sz="0" w:space="0" w:color="auto"/>
        <w:left w:val="none" w:sz="0" w:space="0" w:color="auto"/>
        <w:bottom w:val="none" w:sz="0" w:space="0" w:color="auto"/>
        <w:right w:val="none" w:sz="0" w:space="0" w:color="auto"/>
      </w:divBdr>
    </w:div>
    <w:div w:id="1709792401">
      <w:bodyDiv w:val="1"/>
      <w:marLeft w:val="0"/>
      <w:marRight w:val="0"/>
      <w:marTop w:val="0"/>
      <w:marBottom w:val="0"/>
      <w:divBdr>
        <w:top w:val="none" w:sz="0" w:space="0" w:color="auto"/>
        <w:left w:val="none" w:sz="0" w:space="0" w:color="auto"/>
        <w:bottom w:val="none" w:sz="0" w:space="0" w:color="auto"/>
        <w:right w:val="none" w:sz="0" w:space="0" w:color="auto"/>
      </w:divBdr>
    </w:div>
    <w:div w:id="1716465712">
      <w:bodyDiv w:val="1"/>
      <w:marLeft w:val="0"/>
      <w:marRight w:val="0"/>
      <w:marTop w:val="0"/>
      <w:marBottom w:val="0"/>
      <w:divBdr>
        <w:top w:val="none" w:sz="0" w:space="0" w:color="auto"/>
        <w:left w:val="none" w:sz="0" w:space="0" w:color="auto"/>
        <w:bottom w:val="none" w:sz="0" w:space="0" w:color="auto"/>
        <w:right w:val="none" w:sz="0" w:space="0" w:color="auto"/>
      </w:divBdr>
    </w:div>
    <w:div w:id="1717197976">
      <w:bodyDiv w:val="1"/>
      <w:marLeft w:val="0"/>
      <w:marRight w:val="0"/>
      <w:marTop w:val="0"/>
      <w:marBottom w:val="0"/>
      <w:divBdr>
        <w:top w:val="none" w:sz="0" w:space="0" w:color="auto"/>
        <w:left w:val="none" w:sz="0" w:space="0" w:color="auto"/>
        <w:bottom w:val="none" w:sz="0" w:space="0" w:color="auto"/>
        <w:right w:val="none" w:sz="0" w:space="0" w:color="auto"/>
      </w:divBdr>
    </w:div>
    <w:div w:id="1731612566">
      <w:bodyDiv w:val="1"/>
      <w:marLeft w:val="0"/>
      <w:marRight w:val="0"/>
      <w:marTop w:val="0"/>
      <w:marBottom w:val="0"/>
      <w:divBdr>
        <w:top w:val="none" w:sz="0" w:space="0" w:color="auto"/>
        <w:left w:val="none" w:sz="0" w:space="0" w:color="auto"/>
        <w:bottom w:val="none" w:sz="0" w:space="0" w:color="auto"/>
        <w:right w:val="none" w:sz="0" w:space="0" w:color="auto"/>
      </w:divBdr>
    </w:div>
    <w:div w:id="1734809700">
      <w:bodyDiv w:val="1"/>
      <w:marLeft w:val="0"/>
      <w:marRight w:val="0"/>
      <w:marTop w:val="0"/>
      <w:marBottom w:val="0"/>
      <w:divBdr>
        <w:top w:val="none" w:sz="0" w:space="0" w:color="auto"/>
        <w:left w:val="none" w:sz="0" w:space="0" w:color="auto"/>
        <w:bottom w:val="none" w:sz="0" w:space="0" w:color="auto"/>
        <w:right w:val="none" w:sz="0" w:space="0" w:color="auto"/>
      </w:divBdr>
    </w:div>
    <w:div w:id="1736270855">
      <w:bodyDiv w:val="1"/>
      <w:marLeft w:val="0"/>
      <w:marRight w:val="0"/>
      <w:marTop w:val="0"/>
      <w:marBottom w:val="0"/>
      <w:divBdr>
        <w:top w:val="none" w:sz="0" w:space="0" w:color="auto"/>
        <w:left w:val="none" w:sz="0" w:space="0" w:color="auto"/>
        <w:bottom w:val="none" w:sz="0" w:space="0" w:color="auto"/>
        <w:right w:val="none" w:sz="0" w:space="0" w:color="auto"/>
      </w:divBdr>
    </w:div>
    <w:div w:id="1745565339">
      <w:bodyDiv w:val="1"/>
      <w:marLeft w:val="0"/>
      <w:marRight w:val="0"/>
      <w:marTop w:val="0"/>
      <w:marBottom w:val="0"/>
      <w:divBdr>
        <w:top w:val="none" w:sz="0" w:space="0" w:color="auto"/>
        <w:left w:val="none" w:sz="0" w:space="0" w:color="auto"/>
        <w:bottom w:val="none" w:sz="0" w:space="0" w:color="auto"/>
        <w:right w:val="none" w:sz="0" w:space="0" w:color="auto"/>
      </w:divBdr>
    </w:div>
    <w:div w:id="1758865682">
      <w:bodyDiv w:val="1"/>
      <w:marLeft w:val="0"/>
      <w:marRight w:val="0"/>
      <w:marTop w:val="0"/>
      <w:marBottom w:val="0"/>
      <w:divBdr>
        <w:top w:val="none" w:sz="0" w:space="0" w:color="auto"/>
        <w:left w:val="none" w:sz="0" w:space="0" w:color="auto"/>
        <w:bottom w:val="none" w:sz="0" w:space="0" w:color="auto"/>
        <w:right w:val="none" w:sz="0" w:space="0" w:color="auto"/>
      </w:divBdr>
    </w:div>
    <w:div w:id="1770006638">
      <w:bodyDiv w:val="1"/>
      <w:marLeft w:val="0"/>
      <w:marRight w:val="0"/>
      <w:marTop w:val="0"/>
      <w:marBottom w:val="0"/>
      <w:divBdr>
        <w:top w:val="none" w:sz="0" w:space="0" w:color="auto"/>
        <w:left w:val="none" w:sz="0" w:space="0" w:color="auto"/>
        <w:bottom w:val="none" w:sz="0" w:space="0" w:color="auto"/>
        <w:right w:val="none" w:sz="0" w:space="0" w:color="auto"/>
      </w:divBdr>
    </w:div>
    <w:div w:id="1771271835">
      <w:bodyDiv w:val="1"/>
      <w:marLeft w:val="0"/>
      <w:marRight w:val="0"/>
      <w:marTop w:val="0"/>
      <w:marBottom w:val="0"/>
      <w:divBdr>
        <w:top w:val="none" w:sz="0" w:space="0" w:color="auto"/>
        <w:left w:val="none" w:sz="0" w:space="0" w:color="auto"/>
        <w:bottom w:val="none" w:sz="0" w:space="0" w:color="auto"/>
        <w:right w:val="none" w:sz="0" w:space="0" w:color="auto"/>
      </w:divBdr>
    </w:div>
    <w:div w:id="1774746391">
      <w:bodyDiv w:val="1"/>
      <w:marLeft w:val="0"/>
      <w:marRight w:val="0"/>
      <w:marTop w:val="0"/>
      <w:marBottom w:val="0"/>
      <w:divBdr>
        <w:top w:val="none" w:sz="0" w:space="0" w:color="auto"/>
        <w:left w:val="none" w:sz="0" w:space="0" w:color="auto"/>
        <w:bottom w:val="none" w:sz="0" w:space="0" w:color="auto"/>
        <w:right w:val="none" w:sz="0" w:space="0" w:color="auto"/>
      </w:divBdr>
    </w:div>
    <w:div w:id="1777211648">
      <w:bodyDiv w:val="1"/>
      <w:marLeft w:val="0"/>
      <w:marRight w:val="0"/>
      <w:marTop w:val="0"/>
      <w:marBottom w:val="0"/>
      <w:divBdr>
        <w:top w:val="none" w:sz="0" w:space="0" w:color="auto"/>
        <w:left w:val="none" w:sz="0" w:space="0" w:color="auto"/>
        <w:bottom w:val="none" w:sz="0" w:space="0" w:color="auto"/>
        <w:right w:val="none" w:sz="0" w:space="0" w:color="auto"/>
      </w:divBdr>
    </w:div>
    <w:div w:id="1785226434">
      <w:bodyDiv w:val="1"/>
      <w:marLeft w:val="0"/>
      <w:marRight w:val="0"/>
      <w:marTop w:val="0"/>
      <w:marBottom w:val="0"/>
      <w:divBdr>
        <w:top w:val="none" w:sz="0" w:space="0" w:color="auto"/>
        <w:left w:val="none" w:sz="0" w:space="0" w:color="auto"/>
        <w:bottom w:val="none" w:sz="0" w:space="0" w:color="auto"/>
        <w:right w:val="none" w:sz="0" w:space="0" w:color="auto"/>
      </w:divBdr>
    </w:div>
    <w:div w:id="1801410510">
      <w:bodyDiv w:val="1"/>
      <w:marLeft w:val="0"/>
      <w:marRight w:val="0"/>
      <w:marTop w:val="0"/>
      <w:marBottom w:val="0"/>
      <w:divBdr>
        <w:top w:val="none" w:sz="0" w:space="0" w:color="auto"/>
        <w:left w:val="none" w:sz="0" w:space="0" w:color="auto"/>
        <w:bottom w:val="none" w:sz="0" w:space="0" w:color="auto"/>
        <w:right w:val="none" w:sz="0" w:space="0" w:color="auto"/>
      </w:divBdr>
    </w:div>
    <w:div w:id="1810433742">
      <w:bodyDiv w:val="1"/>
      <w:marLeft w:val="0"/>
      <w:marRight w:val="0"/>
      <w:marTop w:val="0"/>
      <w:marBottom w:val="0"/>
      <w:divBdr>
        <w:top w:val="none" w:sz="0" w:space="0" w:color="auto"/>
        <w:left w:val="none" w:sz="0" w:space="0" w:color="auto"/>
        <w:bottom w:val="none" w:sz="0" w:space="0" w:color="auto"/>
        <w:right w:val="none" w:sz="0" w:space="0" w:color="auto"/>
      </w:divBdr>
    </w:div>
    <w:div w:id="1835795533">
      <w:bodyDiv w:val="1"/>
      <w:marLeft w:val="0"/>
      <w:marRight w:val="0"/>
      <w:marTop w:val="0"/>
      <w:marBottom w:val="0"/>
      <w:divBdr>
        <w:top w:val="none" w:sz="0" w:space="0" w:color="auto"/>
        <w:left w:val="none" w:sz="0" w:space="0" w:color="auto"/>
        <w:bottom w:val="none" w:sz="0" w:space="0" w:color="auto"/>
        <w:right w:val="none" w:sz="0" w:space="0" w:color="auto"/>
      </w:divBdr>
    </w:div>
    <w:div w:id="1846166505">
      <w:bodyDiv w:val="1"/>
      <w:marLeft w:val="0"/>
      <w:marRight w:val="0"/>
      <w:marTop w:val="0"/>
      <w:marBottom w:val="0"/>
      <w:divBdr>
        <w:top w:val="none" w:sz="0" w:space="0" w:color="auto"/>
        <w:left w:val="none" w:sz="0" w:space="0" w:color="auto"/>
        <w:bottom w:val="none" w:sz="0" w:space="0" w:color="auto"/>
        <w:right w:val="none" w:sz="0" w:space="0" w:color="auto"/>
      </w:divBdr>
    </w:div>
    <w:div w:id="1855342188">
      <w:bodyDiv w:val="1"/>
      <w:marLeft w:val="0"/>
      <w:marRight w:val="0"/>
      <w:marTop w:val="0"/>
      <w:marBottom w:val="0"/>
      <w:divBdr>
        <w:top w:val="none" w:sz="0" w:space="0" w:color="auto"/>
        <w:left w:val="none" w:sz="0" w:space="0" w:color="auto"/>
        <w:bottom w:val="none" w:sz="0" w:space="0" w:color="auto"/>
        <w:right w:val="none" w:sz="0" w:space="0" w:color="auto"/>
      </w:divBdr>
    </w:div>
    <w:div w:id="1862161615">
      <w:bodyDiv w:val="1"/>
      <w:marLeft w:val="0"/>
      <w:marRight w:val="0"/>
      <w:marTop w:val="0"/>
      <w:marBottom w:val="0"/>
      <w:divBdr>
        <w:top w:val="none" w:sz="0" w:space="0" w:color="auto"/>
        <w:left w:val="none" w:sz="0" w:space="0" w:color="auto"/>
        <w:bottom w:val="none" w:sz="0" w:space="0" w:color="auto"/>
        <w:right w:val="none" w:sz="0" w:space="0" w:color="auto"/>
      </w:divBdr>
    </w:div>
    <w:div w:id="1870799891">
      <w:bodyDiv w:val="1"/>
      <w:marLeft w:val="0"/>
      <w:marRight w:val="0"/>
      <w:marTop w:val="0"/>
      <w:marBottom w:val="0"/>
      <w:divBdr>
        <w:top w:val="none" w:sz="0" w:space="0" w:color="auto"/>
        <w:left w:val="none" w:sz="0" w:space="0" w:color="auto"/>
        <w:bottom w:val="none" w:sz="0" w:space="0" w:color="auto"/>
        <w:right w:val="none" w:sz="0" w:space="0" w:color="auto"/>
      </w:divBdr>
    </w:div>
    <w:div w:id="1877738853">
      <w:bodyDiv w:val="1"/>
      <w:marLeft w:val="0"/>
      <w:marRight w:val="0"/>
      <w:marTop w:val="0"/>
      <w:marBottom w:val="0"/>
      <w:divBdr>
        <w:top w:val="none" w:sz="0" w:space="0" w:color="auto"/>
        <w:left w:val="none" w:sz="0" w:space="0" w:color="auto"/>
        <w:bottom w:val="none" w:sz="0" w:space="0" w:color="auto"/>
        <w:right w:val="none" w:sz="0" w:space="0" w:color="auto"/>
      </w:divBdr>
    </w:div>
    <w:div w:id="1882354582">
      <w:bodyDiv w:val="1"/>
      <w:marLeft w:val="0"/>
      <w:marRight w:val="0"/>
      <w:marTop w:val="0"/>
      <w:marBottom w:val="0"/>
      <w:divBdr>
        <w:top w:val="none" w:sz="0" w:space="0" w:color="auto"/>
        <w:left w:val="none" w:sz="0" w:space="0" w:color="auto"/>
        <w:bottom w:val="none" w:sz="0" w:space="0" w:color="auto"/>
        <w:right w:val="none" w:sz="0" w:space="0" w:color="auto"/>
      </w:divBdr>
    </w:div>
    <w:div w:id="1882550655">
      <w:bodyDiv w:val="1"/>
      <w:marLeft w:val="0"/>
      <w:marRight w:val="0"/>
      <w:marTop w:val="0"/>
      <w:marBottom w:val="0"/>
      <w:divBdr>
        <w:top w:val="none" w:sz="0" w:space="0" w:color="auto"/>
        <w:left w:val="none" w:sz="0" w:space="0" w:color="auto"/>
        <w:bottom w:val="none" w:sz="0" w:space="0" w:color="auto"/>
        <w:right w:val="none" w:sz="0" w:space="0" w:color="auto"/>
      </w:divBdr>
    </w:div>
    <w:div w:id="1912888170">
      <w:bodyDiv w:val="1"/>
      <w:marLeft w:val="0"/>
      <w:marRight w:val="0"/>
      <w:marTop w:val="0"/>
      <w:marBottom w:val="0"/>
      <w:divBdr>
        <w:top w:val="none" w:sz="0" w:space="0" w:color="auto"/>
        <w:left w:val="none" w:sz="0" w:space="0" w:color="auto"/>
        <w:bottom w:val="none" w:sz="0" w:space="0" w:color="auto"/>
        <w:right w:val="none" w:sz="0" w:space="0" w:color="auto"/>
      </w:divBdr>
    </w:div>
    <w:div w:id="1921333942">
      <w:bodyDiv w:val="1"/>
      <w:marLeft w:val="0"/>
      <w:marRight w:val="0"/>
      <w:marTop w:val="0"/>
      <w:marBottom w:val="0"/>
      <w:divBdr>
        <w:top w:val="none" w:sz="0" w:space="0" w:color="auto"/>
        <w:left w:val="none" w:sz="0" w:space="0" w:color="auto"/>
        <w:bottom w:val="none" w:sz="0" w:space="0" w:color="auto"/>
        <w:right w:val="none" w:sz="0" w:space="0" w:color="auto"/>
      </w:divBdr>
    </w:div>
    <w:div w:id="1922711073">
      <w:bodyDiv w:val="1"/>
      <w:marLeft w:val="0"/>
      <w:marRight w:val="0"/>
      <w:marTop w:val="0"/>
      <w:marBottom w:val="0"/>
      <w:divBdr>
        <w:top w:val="none" w:sz="0" w:space="0" w:color="auto"/>
        <w:left w:val="none" w:sz="0" w:space="0" w:color="auto"/>
        <w:bottom w:val="none" w:sz="0" w:space="0" w:color="auto"/>
        <w:right w:val="none" w:sz="0" w:space="0" w:color="auto"/>
      </w:divBdr>
    </w:div>
    <w:div w:id="1930507284">
      <w:bodyDiv w:val="1"/>
      <w:marLeft w:val="0"/>
      <w:marRight w:val="0"/>
      <w:marTop w:val="0"/>
      <w:marBottom w:val="0"/>
      <w:divBdr>
        <w:top w:val="none" w:sz="0" w:space="0" w:color="auto"/>
        <w:left w:val="none" w:sz="0" w:space="0" w:color="auto"/>
        <w:bottom w:val="none" w:sz="0" w:space="0" w:color="auto"/>
        <w:right w:val="none" w:sz="0" w:space="0" w:color="auto"/>
      </w:divBdr>
    </w:div>
    <w:div w:id="1933852531">
      <w:bodyDiv w:val="1"/>
      <w:marLeft w:val="0"/>
      <w:marRight w:val="0"/>
      <w:marTop w:val="0"/>
      <w:marBottom w:val="0"/>
      <w:divBdr>
        <w:top w:val="none" w:sz="0" w:space="0" w:color="auto"/>
        <w:left w:val="none" w:sz="0" w:space="0" w:color="auto"/>
        <w:bottom w:val="none" w:sz="0" w:space="0" w:color="auto"/>
        <w:right w:val="none" w:sz="0" w:space="0" w:color="auto"/>
      </w:divBdr>
    </w:div>
    <w:div w:id="1949117144">
      <w:bodyDiv w:val="1"/>
      <w:marLeft w:val="0"/>
      <w:marRight w:val="0"/>
      <w:marTop w:val="0"/>
      <w:marBottom w:val="0"/>
      <w:divBdr>
        <w:top w:val="none" w:sz="0" w:space="0" w:color="auto"/>
        <w:left w:val="none" w:sz="0" w:space="0" w:color="auto"/>
        <w:bottom w:val="none" w:sz="0" w:space="0" w:color="auto"/>
        <w:right w:val="none" w:sz="0" w:space="0" w:color="auto"/>
      </w:divBdr>
    </w:div>
    <w:div w:id="1955625634">
      <w:bodyDiv w:val="1"/>
      <w:marLeft w:val="0"/>
      <w:marRight w:val="0"/>
      <w:marTop w:val="0"/>
      <w:marBottom w:val="0"/>
      <w:divBdr>
        <w:top w:val="none" w:sz="0" w:space="0" w:color="auto"/>
        <w:left w:val="none" w:sz="0" w:space="0" w:color="auto"/>
        <w:bottom w:val="none" w:sz="0" w:space="0" w:color="auto"/>
        <w:right w:val="none" w:sz="0" w:space="0" w:color="auto"/>
      </w:divBdr>
    </w:div>
    <w:div w:id="1965378998">
      <w:bodyDiv w:val="1"/>
      <w:marLeft w:val="0"/>
      <w:marRight w:val="0"/>
      <w:marTop w:val="0"/>
      <w:marBottom w:val="0"/>
      <w:divBdr>
        <w:top w:val="none" w:sz="0" w:space="0" w:color="auto"/>
        <w:left w:val="none" w:sz="0" w:space="0" w:color="auto"/>
        <w:bottom w:val="none" w:sz="0" w:space="0" w:color="auto"/>
        <w:right w:val="none" w:sz="0" w:space="0" w:color="auto"/>
      </w:divBdr>
    </w:div>
    <w:div w:id="1976400080">
      <w:bodyDiv w:val="1"/>
      <w:marLeft w:val="0"/>
      <w:marRight w:val="0"/>
      <w:marTop w:val="0"/>
      <w:marBottom w:val="0"/>
      <w:divBdr>
        <w:top w:val="none" w:sz="0" w:space="0" w:color="auto"/>
        <w:left w:val="none" w:sz="0" w:space="0" w:color="auto"/>
        <w:bottom w:val="none" w:sz="0" w:space="0" w:color="auto"/>
        <w:right w:val="none" w:sz="0" w:space="0" w:color="auto"/>
      </w:divBdr>
    </w:div>
    <w:div w:id="1977418339">
      <w:bodyDiv w:val="1"/>
      <w:marLeft w:val="0"/>
      <w:marRight w:val="0"/>
      <w:marTop w:val="0"/>
      <w:marBottom w:val="0"/>
      <w:divBdr>
        <w:top w:val="none" w:sz="0" w:space="0" w:color="auto"/>
        <w:left w:val="none" w:sz="0" w:space="0" w:color="auto"/>
        <w:bottom w:val="none" w:sz="0" w:space="0" w:color="auto"/>
        <w:right w:val="none" w:sz="0" w:space="0" w:color="auto"/>
      </w:divBdr>
    </w:div>
    <w:div w:id="1978800334">
      <w:bodyDiv w:val="1"/>
      <w:marLeft w:val="0"/>
      <w:marRight w:val="0"/>
      <w:marTop w:val="0"/>
      <w:marBottom w:val="0"/>
      <w:divBdr>
        <w:top w:val="none" w:sz="0" w:space="0" w:color="auto"/>
        <w:left w:val="none" w:sz="0" w:space="0" w:color="auto"/>
        <w:bottom w:val="none" w:sz="0" w:space="0" w:color="auto"/>
        <w:right w:val="none" w:sz="0" w:space="0" w:color="auto"/>
      </w:divBdr>
    </w:div>
    <w:div w:id="1985504826">
      <w:bodyDiv w:val="1"/>
      <w:marLeft w:val="0"/>
      <w:marRight w:val="0"/>
      <w:marTop w:val="0"/>
      <w:marBottom w:val="0"/>
      <w:divBdr>
        <w:top w:val="none" w:sz="0" w:space="0" w:color="auto"/>
        <w:left w:val="none" w:sz="0" w:space="0" w:color="auto"/>
        <w:bottom w:val="none" w:sz="0" w:space="0" w:color="auto"/>
        <w:right w:val="none" w:sz="0" w:space="0" w:color="auto"/>
      </w:divBdr>
    </w:div>
    <w:div w:id="1993606282">
      <w:bodyDiv w:val="1"/>
      <w:marLeft w:val="0"/>
      <w:marRight w:val="0"/>
      <w:marTop w:val="0"/>
      <w:marBottom w:val="0"/>
      <w:divBdr>
        <w:top w:val="none" w:sz="0" w:space="0" w:color="auto"/>
        <w:left w:val="none" w:sz="0" w:space="0" w:color="auto"/>
        <w:bottom w:val="none" w:sz="0" w:space="0" w:color="auto"/>
        <w:right w:val="none" w:sz="0" w:space="0" w:color="auto"/>
      </w:divBdr>
    </w:div>
    <w:div w:id="2001956240">
      <w:bodyDiv w:val="1"/>
      <w:marLeft w:val="0"/>
      <w:marRight w:val="0"/>
      <w:marTop w:val="0"/>
      <w:marBottom w:val="0"/>
      <w:divBdr>
        <w:top w:val="none" w:sz="0" w:space="0" w:color="auto"/>
        <w:left w:val="none" w:sz="0" w:space="0" w:color="auto"/>
        <w:bottom w:val="none" w:sz="0" w:space="0" w:color="auto"/>
        <w:right w:val="none" w:sz="0" w:space="0" w:color="auto"/>
      </w:divBdr>
    </w:div>
    <w:div w:id="2033602917">
      <w:bodyDiv w:val="1"/>
      <w:marLeft w:val="0"/>
      <w:marRight w:val="0"/>
      <w:marTop w:val="0"/>
      <w:marBottom w:val="0"/>
      <w:divBdr>
        <w:top w:val="none" w:sz="0" w:space="0" w:color="auto"/>
        <w:left w:val="none" w:sz="0" w:space="0" w:color="auto"/>
        <w:bottom w:val="none" w:sz="0" w:space="0" w:color="auto"/>
        <w:right w:val="none" w:sz="0" w:space="0" w:color="auto"/>
      </w:divBdr>
    </w:div>
    <w:div w:id="2036078234">
      <w:bodyDiv w:val="1"/>
      <w:marLeft w:val="0"/>
      <w:marRight w:val="0"/>
      <w:marTop w:val="0"/>
      <w:marBottom w:val="0"/>
      <w:divBdr>
        <w:top w:val="none" w:sz="0" w:space="0" w:color="auto"/>
        <w:left w:val="none" w:sz="0" w:space="0" w:color="auto"/>
        <w:bottom w:val="none" w:sz="0" w:space="0" w:color="auto"/>
        <w:right w:val="none" w:sz="0" w:space="0" w:color="auto"/>
      </w:divBdr>
    </w:div>
    <w:div w:id="2060283419">
      <w:bodyDiv w:val="1"/>
      <w:marLeft w:val="0"/>
      <w:marRight w:val="0"/>
      <w:marTop w:val="0"/>
      <w:marBottom w:val="0"/>
      <w:divBdr>
        <w:top w:val="none" w:sz="0" w:space="0" w:color="auto"/>
        <w:left w:val="none" w:sz="0" w:space="0" w:color="auto"/>
        <w:bottom w:val="none" w:sz="0" w:space="0" w:color="auto"/>
        <w:right w:val="none" w:sz="0" w:space="0" w:color="auto"/>
      </w:divBdr>
    </w:div>
    <w:div w:id="2061518051">
      <w:bodyDiv w:val="1"/>
      <w:marLeft w:val="0"/>
      <w:marRight w:val="0"/>
      <w:marTop w:val="0"/>
      <w:marBottom w:val="0"/>
      <w:divBdr>
        <w:top w:val="none" w:sz="0" w:space="0" w:color="auto"/>
        <w:left w:val="none" w:sz="0" w:space="0" w:color="auto"/>
        <w:bottom w:val="none" w:sz="0" w:space="0" w:color="auto"/>
        <w:right w:val="none" w:sz="0" w:space="0" w:color="auto"/>
      </w:divBdr>
    </w:div>
    <w:div w:id="2090808241">
      <w:bodyDiv w:val="1"/>
      <w:marLeft w:val="0"/>
      <w:marRight w:val="0"/>
      <w:marTop w:val="0"/>
      <w:marBottom w:val="0"/>
      <w:divBdr>
        <w:top w:val="none" w:sz="0" w:space="0" w:color="auto"/>
        <w:left w:val="none" w:sz="0" w:space="0" w:color="auto"/>
        <w:bottom w:val="none" w:sz="0" w:space="0" w:color="auto"/>
        <w:right w:val="none" w:sz="0" w:space="0" w:color="auto"/>
      </w:divBdr>
    </w:div>
    <w:div w:id="2101562219">
      <w:bodyDiv w:val="1"/>
      <w:marLeft w:val="0"/>
      <w:marRight w:val="0"/>
      <w:marTop w:val="0"/>
      <w:marBottom w:val="0"/>
      <w:divBdr>
        <w:top w:val="none" w:sz="0" w:space="0" w:color="auto"/>
        <w:left w:val="none" w:sz="0" w:space="0" w:color="auto"/>
        <w:bottom w:val="none" w:sz="0" w:space="0" w:color="auto"/>
        <w:right w:val="none" w:sz="0" w:space="0" w:color="auto"/>
      </w:divBdr>
    </w:div>
    <w:div w:id="2105611596">
      <w:bodyDiv w:val="1"/>
      <w:marLeft w:val="0"/>
      <w:marRight w:val="0"/>
      <w:marTop w:val="0"/>
      <w:marBottom w:val="0"/>
      <w:divBdr>
        <w:top w:val="none" w:sz="0" w:space="0" w:color="auto"/>
        <w:left w:val="none" w:sz="0" w:space="0" w:color="auto"/>
        <w:bottom w:val="none" w:sz="0" w:space="0" w:color="auto"/>
        <w:right w:val="none" w:sz="0" w:space="0" w:color="auto"/>
      </w:divBdr>
    </w:div>
    <w:div w:id="2106997205">
      <w:bodyDiv w:val="1"/>
      <w:marLeft w:val="0"/>
      <w:marRight w:val="0"/>
      <w:marTop w:val="0"/>
      <w:marBottom w:val="0"/>
      <w:divBdr>
        <w:top w:val="none" w:sz="0" w:space="0" w:color="auto"/>
        <w:left w:val="none" w:sz="0" w:space="0" w:color="auto"/>
        <w:bottom w:val="none" w:sz="0" w:space="0" w:color="auto"/>
        <w:right w:val="none" w:sz="0" w:space="0" w:color="auto"/>
      </w:divBdr>
    </w:div>
    <w:div w:id="2114858860">
      <w:bodyDiv w:val="1"/>
      <w:marLeft w:val="0"/>
      <w:marRight w:val="0"/>
      <w:marTop w:val="0"/>
      <w:marBottom w:val="0"/>
      <w:divBdr>
        <w:top w:val="none" w:sz="0" w:space="0" w:color="auto"/>
        <w:left w:val="none" w:sz="0" w:space="0" w:color="auto"/>
        <w:bottom w:val="none" w:sz="0" w:space="0" w:color="auto"/>
        <w:right w:val="none" w:sz="0" w:space="0" w:color="auto"/>
      </w:divBdr>
    </w:div>
    <w:div w:id="2129546992">
      <w:bodyDiv w:val="1"/>
      <w:marLeft w:val="0"/>
      <w:marRight w:val="0"/>
      <w:marTop w:val="0"/>
      <w:marBottom w:val="0"/>
      <w:divBdr>
        <w:top w:val="none" w:sz="0" w:space="0" w:color="auto"/>
        <w:left w:val="none" w:sz="0" w:space="0" w:color="auto"/>
        <w:bottom w:val="none" w:sz="0" w:space="0" w:color="auto"/>
        <w:right w:val="none" w:sz="0" w:space="0" w:color="auto"/>
      </w:divBdr>
    </w:div>
    <w:div w:id="2135054731">
      <w:bodyDiv w:val="1"/>
      <w:marLeft w:val="0"/>
      <w:marRight w:val="0"/>
      <w:marTop w:val="0"/>
      <w:marBottom w:val="0"/>
      <w:divBdr>
        <w:top w:val="none" w:sz="0" w:space="0" w:color="auto"/>
        <w:left w:val="none" w:sz="0" w:space="0" w:color="auto"/>
        <w:bottom w:val="none" w:sz="0" w:space="0" w:color="auto"/>
        <w:right w:val="none" w:sz="0" w:space="0" w:color="auto"/>
      </w:divBdr>
    </w:div>
    <w:div w:id="21392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image" Target="media/image8.emf"/><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emf"/><Relationship Id="rId33" Type="http://schemas.openxmlformats.org/officeDocument/2006/relationships/image" Target="media/image14.png"/><Relationship Id="rId38" Type="http://schemas.openxmlformats.org/officeDocument/2006/relationships/footer" Target="footer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u4business.eu/" TargetMode="External"/><Relationship Id="rId20" Type="http://schemas.openxmlformats.org/officeDocument/2006/relationships/footer" Target="footer2.xml"/><Relationship Id="rId29" Type="http://schemas.openxmlformats.org/officeDocument/2006/relationships/hyperlink" Target="http://www.oecd.org/investment/fdiindex.htm" TargetMode="External"/><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3.emf"/><Relationship Id="rId37" Type="http://schemas.openxmlformats.org/officeDocument/2006/relationships/header" Target="header4.xml"/><Relationship Id="rId40" Type="http://schemas.openxmlformats.org/officeDocument/2006/relationships/image" Target="media/image17.emf"/><Relationship Id="rId45" Type="http://schemas.openxmlformats.org/officeDocument/2006/relationships/hyperlink" Target="https://www.unece.org/env/pp/introduction.html"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2.emf"/><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image" Target="media/image4.png"/><Relationship Id="rId27" Type="http://schemas.openxmlformats.org/officeDocument/2006/relationships/image" Target="media/image9.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ECB31D9D4640A04A9E1A2D0868FC2086" ma:contentTypeVersion="82" ma:contentTypeDescription="" ma:contentTypeScope="" ma:versionID="9989f8d4da75ef103e100dc60ad4053b">
  <xsd:schema xmlns:xsd="http://www.w3.org/2001/XMLSchema" xmlns:xs="http://www.w3.org/2001/XMLSchema" xmlns:p="http://schemas.microsoft.com/office/2006/metadata/properties" xmlns:ns1="54c4cd27-f286-408f-9ce0-33c1e0f3ab39" xmlns:ns2="439f5b02-3b33-475e-b1dd-2befeeb2508a" xmlns:ns3="0fdfc921-f221-4763-9e31-81f120c7cd17" xmlns:ns5="c9f238dd-bb73-4aef-a7a5-d644ad823e52" xmlns:ns6="ca82dde9-3436-4d3d-bddd-d31447390034" xmlns:ns7="http://schemas.microsoft.com/sharepoint/v4" targetNamespace="http://schemas.microsoft.com/office/2006/metadata/properties" ma:root="true" ma:fieldsID="862de19fc1d49b480d8773dbd2b9c6a7" ns1:_="" ns2:_="" ns3:_="" ns5:_="" ns6:_="" ns7:_="">
    <xsd:import namespace="54c4cd27-f286-408f-9ce0-33c1e0f3ab39"/>
    <xsd:import namespace="439f5b02-3b33-475e-b1dd-2befeeb2508a"/>
    <xsd:import namespace="0fdfc921-f221-4763-9e31-81f120c7cd17"/>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aa366335bba64f7186c6f91b1ae503c2" minOccurs="0"/>
                <xsd:element ref="ns6:TaxCatchAll" minOccurs="0"/>
                <xsd:element ref="ns6:TaxCatchAllLabel" minOccurs="0"/>
                <xsd:element ref="ns6:pb5335f8765c484a86ddd10580650a95" minOccurs="0"/>
                <xsd:element ref="ns2:h941d5ad240e42c1ac5e8179aa23b15e" minOccurs="0"/>
                <xsd:element ref="ns3:n6ea0116cd58440890c0bb9a25ab7bf4" minOccurs="0"/>
                <xsd:element ref="ns3:l1daaca4531f4c63a70952d1e850b77b" minOccurs="0"/>
                <xsd:element ref="ns3:OECDSharingStatus" minOccurs="0"/>
                <xsd:element ref="ns3:OECDCommunityDocumentURL" minOccurs="0"/>
                <xsd:element ref="ns3:OECDCommunityDocumentID" minOccurs="0"/>
                <xsd:element ref="ns2:eShareHorizProjTaxHTField0" minOccurs="0"/>
                <xsd:element ref="ns3:OECDTagsCache" minOccurs="0"/>
                <xsd:element ref="ns6:OECDlanguage" minOccurs="0"/>
                <xsd:element ref="ns1:OECDMeetingDate" minOccurs="0"/>
                <xsd:element ref="ns7:IconOverlay" minOccurs="0"/>
                <xsd:element ref="ns2:OECDAllRelatedUsers" minOccurs="0"/>
                <xsd:element ref="ns3:SharedWithUsers" minOccurs="0"/>
                <xsd:element ref="ns3:OECDDeliverable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42" nillable="true" ma:displayName="Meeting Date" ma:default="" ma:format="DateOnly" ma:hidden="true" ma:internalName="OECD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9f5b02-3b33-475e-b1dd-2befeeb2508a"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ma:readOnly="false">
      <xsd:simpleType>
        <xsd:restriction base="dms:DateTime"/>
      </xsd:simpleType>
    </xsd:element>
    <xsd:element name="h941d5ad240e42c1ac5e8179aa23b15e" ma:index="30" nillable="true" ma:taxonomy="true" ma:internalName="h941d5ad240e42c1ac5e8179aa23b15e" ma:taxonomyFieldName="OECDHorizontalProjects" ma:displayName="Horizontal project" ma:readOnly="false" ma:default="" ma:fieldId="{1941d5ad-240e-42c1-ac5e-8179aa23b15e}"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dfc921-f221-4763-9e31-81f120c7cd17"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bf49a777-15e6-4f0c-a068-0246e95b4d6b" ma:internalName="OECDProjectLookup" ma:showField="OECDShortProjectName" ma:web="0fdfc921-f221-4763-9e31-81f120c7cd17">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bf49a777-15e6-4f0c-a068-0246e95b4d6b"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ea0116cd58440890c0bb9a25ab7bf4" ma:index="31" nillable="true" ma:taxonomy="true" ma:internalName="n6ea0116cd58440890c0bb9a25ab7bf4" ma:taxonomyFieldName="OECDProjectOwnerStructure" ma:displayName="Project owner" ma:readOnly="false" ma:default="" ma:fieldId="76ea0116-cd58-4408-90c0-bb9a25ab7bf4"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l1daaca4531f4c63a70952d1e850b77b" ma:index="32" nillable="true" ma:displayName="Deliverable owner_0" ma:hidden="true" ma:internalName="l1daaca4531f4c63a70952d1e850b77b">
      <xsd:simpleType>
        <xsd:restriction base="dms:Note"/>
      </xsd:simple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DeliverableManager" ma:index="47" nillable="true" ma:displayName="In charge" ma:description="" ma:hidden="true" ma:internalName="OECDDeliverab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aa366335bba64f7186c6f91b1ae503c2" ma:index="24" nillable="true" ma:displayName="Country_0" ma:hidden="true" ma:internalName="aa366335bba64f7186c6f91b1ae503c2">
      <xsd:simpleType>
        <xsd:restriction base="dms:Note"/>
      </xsd:simpleType>
    </xsd:element>
    <xsd:element name="TaxCatchAll" ma:index="25" nillable="true" ma:displayName="Taxonomy Catch All Column" ma:hidden="true" ma:list="{de36993c-b87f-46e8-a622-00d397574c34}" ma:internalName="TaxCatchAll" ma:showField="CatchAllData" ma:web="439f5b02-3b33-475e-b1dd-2befeeb2508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de36993c-b87f-46e8-a622-00d397574c34}" ma:internalName="TaxCatchAllLabel" ma:readOnly="true" ma:showField="CatchAllDataLabel" ma:web="439f5b02-3b33-475e-b1dd-2befeeb2508a">
      <xsd:complexType>
        <xsd:complexContent>
          <xsd:extension base="dms:MultiChoiceLookup">
            <xsd:sequence>
              <xsd:element name="Value" type="dms:Lookup" maxOccurs="unbounded" minOccurs="0" nillable="true"/>
            </xsd:sequence>
          </xsd:extension>
        </xsd:complexContent>
      </xsd:complexType>
    </xsd:element>
    <xsd:element name="pb5335f8765c484a86ddd10580650a95" ma:index="27" nillable="true" ma:displayName="Topic_0" ma:hidden="true" ma:internalName="pb5335f8765c484a86ddd10580650a95">
      <xsd:simpleType>
        <xsd:restriction base="dms:Note"/>
      </xsd:simpleType>
    </xsd:element>
    <xsd:element name="OECDlanguage" ma:index="4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p:properties xmlns:p="http://schemas.microsoft.com/office/2006/metadata/properties" xmlns:xsi="http://www.w3.org/2001/XMLSchema-instance" xmlns:pc="http://schemas.microsoft.com/office/infopath/2007/PartnerControls">
  <documentManagement>
    <OECDKimBussinessContext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2017-18</TermName>
          <TermId xmlns="http://schemas.microsoft.com/office/infopath/2007/PartnerControls">ffda23c2-cd1b-45cc-b3f4-67b12010cc58</TermId>
        </TermInfo>
      </Terms>
    </eSharePWBTaxHTField0>
    <OECDlanguage xmlns="ca82dde9-3436-4d3d-bddd-d31447390034">English</OECDlanguage>
    <IconOverlay xmlns="http://schemas.microsoft.com/sharepoint/v4" xsi:nil="true"/>
    <OECDMeetingDate xmlns="54c4cd27-f286-408f-9ce0-33c1e0f3ab39"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b6d08927-5cc0-4def-9251-71b61748d1ac</TermId>
        </TermInfo>
        <TermInfo xmlns="http://schemas.microsoft.com/office/infopath/2007/PartnerControls">
          <TermName xmlns="http://schemas.microsoft.com/office/infopath/2007/PartnerControls">Investment</TermName>
          <TermId xmlns="http://schemas.microsoft.com/office/infopath/2007/PartnerControls">2fd49a89-47e2-4cec-86d7-41b8bdf154e2</TermId>
        </TermInfo>
      </Terms>
    </eShareTopicTaxHTField0>
    <eShareKeywordsTaxHTField0 xmlns="c9f238dd-bb73-4aef-a7a5-d644ad823e52">
      <Terms xmlns="http://schemas.microsoft.com/office/infopath/2007/PartnerControls"/>
    </eShareKeywordsTaxHTField0>
    <TaxCatchAll xmlns="ca82dde9-3436-4d3d-bddd-d31447390034">
      <Value>193</Value>
      <Value>157</Value>
      <Value>80</Value>
      <Value>988</Value>
    </TaxCatchAll>
    <eShareHorizProjTaxHTField0 xmlns="439f5b02-3b33-475e-b1dd-2befeeb2508a" xsi:nil="true"/>
    <OECDAllRelatedUsers xmlns="439f5b02-3b33-475e-b1dd-2befeeb2508a">
      <UserInfo>
        <DisplayName/>
        <AccountId xsi:nil="true"/>
        <AccountType/>
      </UserInfo>
    </OECDAllRelatedUsers>
    <OECDTagsCache xmlns="0fdfc921-f221-4763-9e31-81f120c7cd17" xsi:nil="true"/>
    <OECDSharingStatus xmlns="0fdfc921-f221-4763-9e31-81f120c7cd17" xsi:nil="true"/>
    <OECDCommunityDocumentURL xmlns="0fdfc921-f221-4763-9e31-81f120c7cd17" xsi:nil="true"/>
    <OECDPinnedBy xmlns="0fdfc921-f221-4763-9e31-81f120c7cd17">
      <UserInfo>
        <DisplayName>MANTOVANI Iris, DAF/INV</DisplayName>
        <AccountId>1046</AccountId>
        <AccountType/>
      </UserInfo>
    </OECDPinnedBy>
    <OECDExpirationDate xmlns="439f5b02-3b33-475e-b1dd-2befeeb2508a" xsi:nil="true"/>
    <OECDProjectMembers xmlns="0fdfc921-f221-4763-9e31-81f120c7cd17">
      <UserInfo>
        <DisplayName>GRS DIR EURASIA</DisplayName>
        <AccountId>346</AccountId>
        <AccountType/>
      </UserInfo>
      <UserInfo>
        <DisplayName>HALLIDAY Orla, SGE/GRS/EURASIA</DisplayName>
        <AccountId>188</AccountId>
        <AccountType/>
      </UserInfo>
      <UserInfo>
        <DisplayName>ALFONSO Francesco, SGE/GRS/EURASIA</DisplayName>
        <AccountId>93</AccountId>
        <AccountType/>
      </UserInfo>
      <UserInfo>
        <DisplayName>QUADBECK Daniel, SGE/GRS/EURASIA</DisplayName>
        <AccountId>89</AccountId>
        <AccountType/>
      </UserInfo>
      <UserInfo>
        <DisplayName>FRID Alena, EDU/ECS</DisplayName>
        <AccountId>217</AccountId>
        <AccountType/>
      </UserInfo>
      <UserInfo>
        <DisplayName>KLIMENKA Eugenia, SGE/GRS/EURASIA</DisplayName>
        <AccountId>1624</AccountId>
        <AccountType/>
      </UserInfo>
      <UserInfo>
        <DisplayName>CHAHTAHTINSKY Anna, SGE/GRS/EURASIA</DisplayName>
        <AccountId>179</AccountId>
        <AccountType/>
      </UserInfo>
      <UserInfo>
        <DisplayName>LARRAKOETXEA Elisa, SGE/GRS/EURASIA</DisplayName>
        <AccountId>2339</AccountId>
        <AccountType/>
      </UserInfo>
      <UserInfo>
        <DisplayName>PRUZINSKY Patrik, SGE/GRS/EURASIA</DisplayName>
        <AccountId>157</AccountId>
        <AccountType/>
      </UserInfo>
      <UserInfo>
        <DisplayName>MACKLE Luke, SGE/GRS/EURASIA</DisplayName>
        <AccountId>1414</AccountId>
        <AccountType/>
      </UserInfo>
      <UserInfo>
        <DisplayName>TRASI Cecilia, SGE/GRS/EURASIA</DisplayName>
        <AccountId>2732</AccountId>
        <AccountType/>
      </UserInfo>
      <UserInfo>
        <DisplayName>BOROVITSKY Daria, SGE/GRS/EURASIA</DisplayName>
        <AccountId>2755</AccountId>
        <AccountType/>
      </UserInfo>
      <UserInfo>
        <DisplayName>MIRANDA Gabriela, SGE/GRS/EURASIA</DisplayName>
        <AccountId>248</AccountId>
        <AccountType/>
      </UserInfo>
      <UserInfo>
        <DisplayName>ZANKO Yustyna, SGE/GRS/EURASIA</DisplayName>
        <AccountId>2842</AccountId>
        <AccountType/>
      </UserInfo>
      <UserInfo>
        <DisplayName>TAUTIYEVA Lyudmyla, SGE/GRS/EURASIA</DisplayName>
        <AccountId>1012</AccountId>
        <AccountType/>
      </UserInfo>
      <UserInfo>
        <DisplayName>RAUHALA Antti, SGE/GRS/EURASIA</DisplayName>
        <AccountId>2873</AccountId>
        <AccountType/>
      </UserInfo>
      <UserInfo>
        <DisplayName>SAZAMA Kristin, SGE/GRS/MCU</DisplayName>
        <AccountId>595</AccountId>
        <AccountType/>
      </UserInfo>
      <UserInfo>
        <DisplayName>LECOMTE Grégory, SGE/GRS/EURASIA</DisplayName>
        <AccountId>75</AccountId>
        <AccountType/>
      </UserInfo>
      <UserInfo>
        <DisplayName>SCHURICH Amelie, SGE/GRS/EURASIA</DisplayName>
        <AccountId>3036</AccountId>
        <AccountType/>
      </UserInfo>
      <UserInfo>
        <DisplayName>KUPFERSCHMID Sebastian, SGE/GRS/EURASIA</DisplayName>
        <AccountId>121</AccountId>
        <AccountType/>
      </UserInfo>
      <UserInfo>
        <DisplayName>FERREIRA Maria, SGE/GRS/EURASIA</DisplayName>
        <AccountId>920</AccountId>
        <AccountType/>
      </UserInfo>
      <UserInfo>
        <DisplayName>ZHANABERGENOVA Mira, SGE/GRS/EURASIA</DisplayName>
        <AccountId>2541</AccountId>
        <AccountType/>
      </UserInfo>
      <UserInfo>
        <DisplayName>UPTON Geoff, SGE/GRS/EURASIA</DisplayName>
        <AccountId>2924</AccountId>
        <AccountType/>
      </UserInfo>
      <UserInfo>
        <DisplayName>BERRY-CHATELAIN Vanessa, SGE/GRS/MCU</DisplayName>
        <AccountId>193</AccountId>
        <AccountType/>
      </UserInfo>
      <UserInfo>
        <DisplayName>VISCU Iulia, SGE/GRS/EURASIA</DisplayName>
        <AccountId>3029</AccountId>
        <AccountType/>
      </UserInfo>
      <UserInfo>
        <DisplayName>ATAMER Peline, SGE/GRS/EURASIA</DisplayName>
        <AccountId>114</AccountId>
        <AccountType/>
      </UserInfo>
      <UserInfo>
        <DisplayName>YUCE Salih, SGE/GRS/EURASIA</DisplayName>
        <AccountId>3060</AccountId>
        <AccountType/>
      </UserInfo>
      <UserInfo>
        <DisplayName>PUNTHAKEY Jibran, SGE/GRS/EURASIA</DisplayName>
        <AccountId>116</AccountId>
        <AccountType/>
      </UserInfo>
      <UserInfo>
        <DisplayName>WILL Salomé, SGE/GRS/EURASIA</DisplayName>
        <AccountId>3015</AccountId>
        <AccountType/>
      </UserInfo>
      <UserInfo>
        <DisplayName>MOISO Carlotta, SGE/GRS/EURASIA</DisplayName>
        <AccountId>2830</AccountId>
        <AccountType/>
      </UserInfo>
    </OECDProjectMembers>
    <OECDProjectLookup xmlns="0fdfc921-f221-4763-9e31-81f120c7cd17">254</OECDProjectLookup>
    <OECDMainProject xmlns="0fdfc921-f221-4763-9e31-81f120c7cd17">24</OECDMainProject>
    <OECDProjectManager xmlns="0fdfc921-f221-4763-9e31-81f120c7cd17">
      <UserInfo>
        <DisplayName/>
        <AccountId>313</AccountId>
        <AccountType/>
      </UserInfo>
    </OECDProjectManager>
    <OECDCommunityDocumentID xmlns="0fdfc921-f221-4763-9e31-81f120c7cd17" xsi:nil="true"/>
    <h941d5ad240e42c1ac5e8179aa23b15e xmlns="439f5b02-3b33-475e-b1dd-2befeeb2508a">
      <Terms xmlns="http://schemas.microsoft.com/office/infopath/2007/PartnerControls"/>
    </h941d5ad240e42c1ac5e8179aa23b15e>
    <n6ea0116cd58440890c0bb9a25ab7bf4 xmlns="0fdfc921-f221-4763-9e31-81f120c7cd17">
      <Terms xmlns="http://schemas.microsoft.com/office/infopath/2007/PartnerControls">
        <TermInfo xmlns="http://schemas.microsoft.com/office/infopath/2007/PartnerControls">
          <TermName xmlns="http://schemas.microsoft.com/office/infopath/2007/PartnerControls">SGE/GRS/EURASIA</TermName>
          <TermId xmlns="http://schemas.microsoft.com/office/infopath/2007/PartnerControls">43d0a903-1d43-474e-90b3-a06bc1c5cd83</TermId>
        </TermInfo>
      </Terms>
    </n6ea0116cd58440890c0bb9a25ab7bf4>
    <pb5335f8765c484a86ddd10580650a95 xmlns="ca82dde9-3436-4d3d-bddd-d31447390034" xsi:nil="true"/>
    <OECDDeliverableManager xmlns="0fdfc921-f221-4763-9e31-81f120c7cd17">
      <UserInfo>
        <DisplayName/>
        <AccountId xsi:nil="true"/>
        <AccountType/>
      </UserInfo>
    </OECDDeliverableManager>
    <l1daaca4531f4c63a70952d1e850b77b xmlns="0fdfc921-f221-4763-9e31-81f120c7cd17" xsi:nil="true"/>
    <aa366335bba64f7186c6f91b1ae503c2 xmlns="ca82dde9-3436-4d3d-bddd-d31447390034" xsi:nil="true"/>
  </documentManagement>
</p:properties>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IMF19</b:Tag>
    <b:SourceType>Report</b:SourceType>
    <b:Guid>{7CA23BEA-AC54-4CF3-AA5F-0A7815EF7380}</b:Guid>
    <b:Author>
      <b:Author>
        <b:Corporate>IMF</b:Corporate>
      </b:Author>
    </b:Author>
    <b:Title>corporate Taxation in the World Economy</b:Title>
    <b:Year>2019</b:Year>
    <b:Institution>International Monetary Fund</b:Institution>
    <b:City>Washington, D.C.</b:City>
    <b:ThesisType>IMF Policy Paper</b:ThesisType>
    <b:RefOrder>1</b:RefOrder>
  </b:Source>
  <b:Source>
    <b:Tag>Pia08</b:Tag>
    <b:SourceType>Report</b:SourceType>
    <b:Guid>{D5637762-01DA-4D50-8210-CDBD85169BA8}</b:Guid>
    <b:Title>Zero Corporate Income Tax in Moldova: Tax Competition and Its Implications for Eastern Europe</b:Title>
    <b:Year>2008</b:Year>
    <b:Medium>IMF Working Paper WP/08/203</b:Medium>
    <b:Author>
      <b:Author>
        <b:NameList>
          <b:Person>
            <b:Last>Piatkowski</b:Last>
            <b:First>Marcin </b:First>
          </b:Person>
          <b:Person>
            <b:Last>Jarmuzek</b:Last>
            <b:First>Mariusz</b:First>
          </b:Person>
        </b:NameList>
      </b:Author>
    </b:Author>
    <b:RefOrder>10</b:RefOrder>
  </b:Source>
  <b:Source>
    <b:Tag>Mas11</b:Tag>
    <b:SourceType>JournalArticle</b:SourceType>
    <b:Guid>{3D8BD26A-1C7F-439D-BAA4-597927D1D7F2}</b:Guid>
    <b:Title>Macroeconomic effects of zero corporate income tax</b:Title>
    <b:JournalName>Baltic Journal of Economics</b:JournalName>
    <b:Year>2011</b:Year>
    <b:Pages>81-99</b:Pages>
    <b:Volume>11</b:Volume>
    <b:Issue>2</b:Issue>
    <b:Author>
      <b:Author>
        <b:NameList>
          <b:Person>
            <b:Last>Masso</b:Last>
            <b:First>Jaan</b:First>
          </b:Person>
          <b:Person>
            <b:Last>Meriküll</b:Last>
            <b:First>Jaanika</b:First>
          </b:Person>
        </b:NameList>
      </b:Author>
    </b:Author>
    <b:RefOrder>7</b:RefOrder>
  </b:Source>
  <b:Source>
    <b:Tag>Leh08</b:Tag>
    <b:SourceType>JournalArticle</b:SourceType>
    <b:Guid>{65B6B231-1993-4E68-BB7B-0B32C0E15964}</b:Guid>
    <b:Title>The Compatibility of the Estonian Corporate Income Tax System with Community Law</b:Title>
    <b:JournalName>Juridica International</b:JournalName>
    <b:Year>2008</b:Year>
    <b:Pages>pp. 14-24</b:Pages>
    <b:Issue>2</b:Issue>
    <b:URL>https://www.juridicainternational.eu/public/pdf/ji_2008_2_14.pdf</b:URL>
    <b:Author>
      <b:Author>
        <b:NameList>
          <b:Person>
            <b:Last>Lehis</b:Last>
            <b:First>Lasse </b:First>
          </b:Person>
          <b:Person>
            <b:Last>Uustalu</b:Last>
            <b:First>Erki </b:First>
          </b:Person>
          <b:Person>
            <b:Last>Pahapill</b:Last>
            <b:First>Helen </b:First>
          </b:Person>
          <b:Person>
            <b:Last> Klauson</b:Last>
            <b:First>Inga </b:First>
          </b:Person>
        </b:NameList>
      </b:Author>
    </b:Author>
    <b:RefOrder>9</b:RefOrder>
  </b:Source>
  <b:Source>
    <b:Tag>GAG17</b:Tag>
    <b:SourceType>Book</b:SourceType>
    <b:Guid>{9FE34E3C-6340-44F1-B558-960FBDC1415F}</b:Guid>
    <b:Title>Corporate Profit Tax vs. Exit Capital Tax: Analysis and recommendations</b:Title>
    <b:Year>2017</b:Year>
    <b:Author>
      <b:Author>
        <b:Corporate>GAG-IER</b:Corporate>
      </b:Author>
    </b:Author>
    <b:Publisher>German Advisory Group and Institute for Economic Research and Policy Consulting</b:Publisher>
    <b:URL>https://www.beratergruppe-ukraine.de/wordpress/wp-content/uploads/2017/04/PS_01_2017_en.pdf</b:URL>
    <b:RefOrder>23</b:RefOrder>
  </b:Source>
  <b:Source>
    <b:Tag>Cri15</b:Tag>
    <b:SourceType>JournalArticle</b:SourceType>
    <b:Guid>{CD0968A0-5E3B-4221-8C59-8C4D8E4CEB0E}</b:Guid>
    <b:Title>Moldovan Tax Reform: 25 years of changes</b:Title>
    <b:Year>2015</b:Year>
    <b:Volume>15</b:Volume>
    <b:DOI>ISSN 2284-7995</b:DOI>
    <b:Author>
      <b:Author>
        <b:NameList>
          <b:Person>
            <b:Last>Criclivaia</b:Last>
            <b:First>Diana</b:First>
          </b:Person>
        </b:NameList>
      </b:Author>
    </b:Author>
    <b:JournalName>Scientific Papers Series Management, Economic Engineering in Agriculture and Rural Development</b:JournalName>
    <b:Issue>3</b:Issue>
    <b:RefOrder>4</b:RefOrder>
  </b:Source>
  <b:Source>
    <b:Tag>Bar03</b:Tag>
    <b:SourceType>JournalArticle</b:SourceType>
    <b:Guid>{7DC5C339-4319-4765-9178-01E790A8AC74}</b:Guid>
    <b:Title>The Political Economy of Taxation in CIS Countries</b:Title>
    <b:Year>2003</b:Year>
    <b:URL>https://ssrn.com/abstract=2073435</b:URL>
    <b:JournalName>Tax Policy Conference</b:JournalName>
    <b:Pages>p. 503</b:Pages>
    <b:Author>
      <b:Author>
        <b:NameList>
          <b:Person>
            <b:Last>Barbone</b:Last>
            <b:First>Luca </b:First>
          </b:Person>
          <b:Person>
            <b:Last>Sanchez</b:Last>
            <b:First>Luis Alvaro</b:First>
          </b:Person>
        </b:NameList>
      </b:Author>
    </b:Author>
    <b:RefOrder>5</b:RefOrder>
  </b:Source>
  <b:Source>
    <b:Tag>Cas07</b:Tag>
    <b:SourceType>JournalArticle</b:SourceType>
    <b:Guid>{5C4079C6-1B8F-4BA9-8E59-7DE70112C75D}</b:Guid>
    <b:Title>Attracting FDI to transition countries: the use of incentives and promotion agencies</b:Title>
    <b:Year>2007</b:Year>
    <b:Volume>16</b:Volume>
    <b:JournalName>Transnational Corporations </b:JournalName>
    <b:Issue>2</b:Issue>
    <b:Author>
      <b:Author>
        <b:NameList>
          <b:Person>
            <b:Last>Cass</b:Last>
            <b:First>Fergus</b:First>
          </b:Person>
        </b:NameList>
      </b:Author>
    </b:Author>
    <b:RefOrder>6</b:RefOrder>
  </b:Source>
  <b:Source>
    <b:Tag>Mar00</b:Tag>
    <b:SourceType>Book</b:SourceType>
    <b:Guid>{92749CF2-4914-4898-A3E9-C03ABE5512AB}</b:Guid>
    <b:Title>the Tax Reform Experiement in Transitional Countries</b:Title>
    <b:Year>2000</b:Year>
    <b:Publisher>George State Univeristy</b:Publisher>
    <b:Volume>Working Paper 00-1</b:Volume>
    <b:Author>
      <b:Author>
        <b:NameList>
          <b:Person>
            <b:Last>Martinez-Vazquez</b:Last>
            <b:First>Jorge</b:First>
          </b:Person>
          <b:Person>
            <b:Last>McNab</b:Last>
            <b:First>Robert</b:First>
          </b:Person>
        </b:NameList>
      </b:Author>
    </b:Author>
    <b:RefOrder>3</b:RefOrder>
  </b:Source>
  <b:Source>
    <b:Tag>Mendeley_u2q9vvg8jjmhVk5vYi6JNQ</b:Tag>
    <b:SourceType>Book</b:SourceType>
    <b:Guid>{25BCF47F-32B2-49E8-BD89-545F100DF66D}</b:Guid>
    <b:Title>Tax and Non-Tax Incentives and Investments: Evidence and Policy Implications</b:Title>
    <b:Year>2013</b:Year>
    <b:Author>
      <b:Author>
        <b:NameList>
          <b:Person>
            <b:Last>James</b:Last>
            <b:First>Sebastian</b:First>
          </b:Person>
        </b:NameList>
      </b:Author>
    </b:Author>
    <b:URL>http://ssrn.com/abstract=2401905http://ssrn.com/abstract=2401905</b:URL>
    <b:LCID>en-US</b:LCID>
    <b:Version>Mendeley</b:Version>
    <b:RefOrder>24</b:RefOrder>
  </b:Source>
  <b:Source>
    <b:Tag>Mendeley_V5fTGMfVgjCjMNh9Atqmqw</b:Tag>
    <b:SourceType>BookSection</b:SourceType>
    <b:Guid>{18D39757-D5C7-3082-A330-D87D02DAA6AB}</b:Guid>
    <b:Title>Corporate Tax Incentives and FDI in Developing Countries</b:Title>
    <b:Year>2017</b:Year>
    <b:Publisher>World Bank</b:Publisher>
    <b:Author>
      <b:Author>
        <b:NameList>
          <b:Person>
            <b:Last>Andersen</b:Last>
            <b:First>Maria R</b:First>
          </b:Person>
          <b:Person>
            <b:Last>Kett</b:Last>
            <b:First>Benjamin R</b:First>
          </b:Person>
          <b:Person>
            <b:Last>Von Uexkull</b:Last>
            <b:First>Erik</b:First>
          </b:Person>
        </b:NameList>
      </b:Author>
    </b:Author>
    <b:BookTitle>Global Investment Competitiveness Report 2017/2018</b:BookTitle>
    <b:Medium>Book Chapter</b:Medium>
    <b:DOI>10.1596/978-1-4648-1175-3</b:DOI>
    <b:LCID>en-US</b:LCID>
    <b:Version>Mendeley</b:Version>
    <b:RefOrder>12</b:RefOrder>
  </b:Source>
  <b:Source>
    <b:Tag>OEC18</b:Tag>
    <b:SourceType>Book</b:SourceType>
    <b:Guid>{3E389B95-C50D-4AC2-AE0E-3B14993B5417}</b:Guid>
    <b:Title>OECD Investment Policy Reviews: Viet Nam 2018</b:Title>
    <b:Year>2018</b:Year>
    <b:URL>http://dx.doi.org/10.1787/9789264282957-en</b:URL>
    <b:DOI>ISBN 978-92-64-28295-7</b:DOI>
    <b:Author>
      <b:Author>
        <b:Corporate>OECD</b:Corporate>
      </b:Author>
    </b:Author>
    <b:Publisher>OECD Publishing</b:Publisher>
    <b:City>Paris</b:City>
    <b:RefOrder>13</b:RefOrder>
  </b:Source>
  <b:Source>
    <b:Tag>Cha08</b:Tag>
    <b:SourceType>ArticleInAPeriodical</b:SourceType>
    <b:Guid>{D02F6F83-F6C5-42B9-88B6-7F4E2DCD8A0D}</b:Guid>
    <b:Title>Tax Concessions and Foreign Direct Investment in the Eastern Caribbean Currency Union</b:Title>
    <b:Year>2008</b:Year>
    <b:Author>
      <b:Author>
        <b:NameList>
          <b:Person>
            <b:Last>Chai</b:Last>
            <b:First>J</b:First>
          </b:Person>
          <b:Person>
            <b:Last>Goyal</b:Last>
            <b:First>R</b:First>
          </b:Person>
        </b:NameList>
      </b:Author>
    </b:Author>
    <b:PeriodicalTitle>IMF WP/08/257</b:PeriodicalTitle>
    <b:RefOrder>14</b:RefOrder>
  </b:Source>
  <b:Source>
    <b:Tag>Cla19</b:Tag>
    <b:SourceType>Book</b:SourceType>
    <b:Guid>{3C9C0C84-CCF0-4327-AF52-3E96D4A892FE}</b:Guid>
    <b:Title>The Use of Corporate Tax Incentives : A Guidance Note and Experience from Poland, Hungary and Latvia</b:Title>
    <b:Year>2019</b:Year>
    <b:Publisher>World Bank</b:Publisher>
    <b:Author>
      <b:Author>
        <b:NameList>
          <b:Person>
            <b:Last>Clark</b:Last>
            <b:First>William</b:First>
            <b:Middle>Steven</b:Middle>
          </b:Person>
          <b:Person>
            <b:Last>Skrok</b:Last>
            <b:First>Emilia</b:First>
          </b:Person>
        </b:NameList>
      </b:Author>
    </b:Author>
    <b:RefOrder>15</b:RefOrder>
  </b:Source>
  <b:Source>
    <b:Tag>Mendeley_VNUm_BSjYjG_d6ykjYh80w</b:Tag>
    <b:SourceType>Book</b:SourceType>
    <b:Guid>{A3E76148-13C8-4DCA-830E-FA5C7963B917}</b:Guid>
    <b:Title>Options for Low Income Countries' Effective and Efficient Use of Tax Incentives for Investment</b:Title>
    <b:Year>2015</b:Year>
    <b:Publisher>A report prepared for the G-20 Development Working Group by the IMF, OECD, UN and World Bank.</b:Publisher>
    <b:Author>
      <b:Author>
        <b:NameList>
          <b:Person>
            <b:Last>IMF-OECD-UN-World Bank</b:Last>
          </b:Person>
        </b:NameList>
      </b:Author>
    </b:Author>
    <b:URL>http://www.imf.org/external/pp/ppindex.aspx</b:URL>
    <b:LCID>en-US</b:LCID>
    <b:Version>Mendeley</b:Version>
    <b:RefOrder>16</b:RefOrder>
  </b:Source>
  <b:Source>
    <b:Tag>Kappa_g2g3e67f</b:Tag>
    <b:SourceType>Book</b:SourceType>
    <b:Title>Policy Framework for Investment, 2015 Edition</b:Title>
    <b:Year>2015</b:Year>
    <b:Publisher>OECD Publishing, Paris</b:Publisher>
    <b:Author>
      <b:Author>
        <b:Corporate>OECD</b:Corporate>
      </b:Author>
    </b:Author>
    <b:DOI>https://dx.doi.org/10.1787/9789264208667-en</b:DOI>
    <b:LCID>en-GB</b:LCID>
    <b:Version>Kappa</b:Version>
    <b:Guid>{BA06EE94-9CB1-4040-BF35-64840C23E338}</b:Guid>
    <b:RefOrder>25</b:RefOrder>
  </b:Source>
  <b:Source>
    <b:Tag>OEC13</b:Tag>
    <b:SourceType>Book</b:SourceType>
    <b:Guid>{54E37ADF-0210-4EEF-BD54-EF82902BF35D}</b:Guid>
    <b:Title>Principles to Enhance the Transparency and Governance of Tax Incentives for Investment in Developing Countries</b:Title>
    <b:Year>2013</b:Year>
    <b:URL>www.oecd.org/ctp/tax-global/transparency-and-governanceprinciples</b:URL>
    <b:Author>
      <b:Author>
        <b:Corporate>OECD</b:Corporate>
      </b:Author>
    </b:Author>
    <b:RefOrder>18</b:RefOrder>
  </b:Source>
  <b:Source>
    <b:Tag>Placeholder1</b:Tag>
    <b:SourceType>Book</b:SourceType>
    <b:Guid>{FC26D554-A314-3162-BF77-ACA48D887CD3}</b:Guid>
    <b:Title>Options for Low Income Countries' Effective and Efficient Use of Tax Incentives for Investment</b:Title>
    <b:Year>2015</b:Year>
    <b:Publisher>A report prepared for the G-20 Development Working Group by the IMF, OECD, UN and World Bank.</b:Publisher>
    <b:Author>
      <b:Author>
        <b:NameList>
          <b:Person>
            <b:Last>IMF-OECD-UN-World Bank</b:Last>
          </b:Person>
        </b:NameList>
      </b:Author>
    </b:Author>
    <b:YearAccessed>2019</b:YearAccessed>
    <b:MonthAccessed>05</b:MonthAccessed>
    <b:DayAccessed>31</b:DayAccessed>
    <b:URL>http://www.imf.org/external/pp/ppindex.aspx</b:URL>
    <b:LCID>en-US</b:LCID>
    <b:Version>Mendeley</b:Version>
    <b:RefOrder>17</b:RefOrder>
  </b:Source>
  <b:Source>
    <b:Tag>OEC16</b:Tag>
    <b:SourceType>Book</b:SourceType>
    <b:Guid>{27AE9126-EBA3-4ECD-A063-C94CB1289CCF}</b:Guid>
    <b:Title>Investment Policy Review: Ukraine</b:Title>
    <b:Year>2016</b:Year>
    <b:Publisher>OECD Publishing</b:Publisher>
    <b:Author>
      <b:Author>
        <b:Corporate>OECD</b:Corporate>
      </b:Author>
    </b:Author>
    <b:RefOrder>19</b:RefOrder>
  </b:Source>
  <b:Source>
    <b:Tag>PwC19</b:Tag>
    <b:SourceType>Book</b:SourceType>
    <b:Guid>{9090057D-535F-44F8-9D24-46766A1CD11D}</b:Guid>
    <b:Author>
      <b:Author>
        <b:Corporate>PwC</b:Corporate>
      </b:Author>
    </b:Author>
    <b:Title>Worldwide Tax Summaries -Corporate Taxation - Tax credits and incentives</b:Title>
    <b:Year>2019</b:Year>
    <b:Publisher>Price Waterhouse Coopers</b:Publisher>
    <b:URL>http://taxsummaries.pwc.com/</b:URL>
    <b:RefOrder>20</b:RefOrder>
  </b:Source>
  <b:Source>
    <b:Tag>Wor16</b:Tag>
    <b:SourceType>Book</b:SourceType>
    <b:Guid>{2E83A0C6-ACC7-4546-BF9E-872391B789A2}</b:Guid>
    <b:Author>
      <b:Author>
        <b:Corporate>World Bank</b:Corporate>
      </b:Author>
    </b:Author>
    <b:Title>The Performance of Free Economic Zones</b:Title>
    <b:Year>2016</b:Year>
    <b:Publisher>Moldova Trade Study, Note 4. World Bank Group</b:Publisher>
    <b:JournalName>Moldova Trade Study, Note 4</b:JournalName>
    <b:City>Washington, D.C</b:City>
    <b:RefOrder>22</b:RefOrder>
  </b:Source>
  <b:Source>
    <b:Tag>UNC19</b:Tag>
    <b:SourceType>Book</b:SourceType>
    <b:Guid>{10C59B5E-CC67-4FBF-BDA2-4543910596F2}</b:Guid>
    <b:Author>
      <b:Author>
        <b:Corporate>UNCTAD</b:Corporate>
      </b:Author>
    </b:Author>
    <b:Title>World Investment Report 2019: Special Economic Zones</b:Title>
    <b:Year>2019</b:Year>
    <b:Publisher>United Nations Conference on Trade and Development</b:Publisher>
    <b:DOI>ISBN 978-92-1-112949-6</b:DOI>
    <b:City>Geneva</b:City>
    <b:RefOrder>26</b:RefOrder>
  </b:Source>
  <b:Source xmlns:b="http://schemas.openxmlformats.org/officeDocument/2006/bibliography">
    <b:Tag>OEC19</b:Tag>
    <b:SourceType>Book</b:SourceType>
    <b:Guid>{2DD0F047-13FB-4198-9BAF-DB87411D64F3}</b:Guid>
    <b:Author>
      <b:Author>
        <b:Corporate>OECD</b:Corporate>
      </b:Author>
    </b:Author>
    <b:Title>Azerbaijan: Linking Domesitc Suppliers with Foreign Investors</b:Title>
    <b:Year>2019</b:Year>
    <b:Publisher>OECD Publishing</b:Publisher>
    <b:City>Paris</b:City>
    <b:RefOrder>27</b:RefOrder>
  </b:Source>
  <b:Source>
    <b:Tag>Red18</b:Tag>
    <b:SourceType>ArticleInAPeriodical</b:SourceType>
    <b:Guid>{49189C81-9477-475C-B782-BA96BDB725C1}</b:Guid>
    <b:Title>Assessing Tax Expenditure Reporting in G20 and OECD Economies</b:Title>
    <b:PeriodicalTitle>Discussion Note, 2018/3</b:PeriodicalTitle>
    <b:Year>2018</b:Year>
    <b:Publisher>Council on Economic Policies</b:Publisher>
    <b:Author>
      <b:Author>
        <b:NameList>
          <b:Person>
            <b:Last>Redonda</b:Last>
          </b:Person>
          <b:Person>
            <b:Last>Neubig</b:Last>
          </b:Person>
        </b:NameList>
      </b:Author>
    </b:Author>
    <b:RefOrder>28</b:RefOrder>
  </b:Source>
  <b:Source>
    <b:Tag>Placeholder2</b:Tag>
    <b:SourceType>Book</b:SourceType>
    <b:Guid>{BEBD6ABB-3CF8-398E-A156-4E6F622E8935}</b:Guid>
    <b:Title>Tax and Non-Tax Incentives and Investments: Evidence and Policy Implications</b:Title>
    <b:Year>2013</b:Year>
    <b:Author>
      <b:Author>
        <b:NameList>
          <b:Person>
            <b:Last>James</b:Last>
            <b:First>Sebastian</b:First>
          </b:Person>
        </b:NameList>
      </b:Author>
    </b:Author>
    <b:YearAccessed>2019</b:YearAccessed>
    <b:MonthAccessed>05</b:MonthAccessed>
    <b:DayAccessed>31</b:DayAccessed>
    <b:URL>http://ssrn.com/abstract=2401905http://ssrn.com/abstract=2401905</b:URL>
    <b:LCID>en-US</b:LCID>
    <b:Version>Mendeley</b:Version>
    <b:RefOrder>29</b:RefOrder>
  </b:Source>
  <b:Source>
    <b:Tag>Mendeley_Qh4PPCkdTjuEqgO7f8T1WA</b:Tag>
    <b:SourceType>Book</b:SourceType>
    <b:Guid>{3C0F1E42-1D29-3B4E-84AA-03BB7FC4F558}</b:Guid>
    <b:Title>2018 Worldwide Corporate Tax Guide</b:Title>
    <b:Year>2018</b:Year>
    <b:Publisher>EY</b:Publisher>
    <b:Author>
      <b:Author>
        <b:NameList>
          <b:Person>
            <b:Last>EY</b:Last>
          </b:Person>
        </b:NameList>
      </b:Author>
    </b:Author>
    <b:YearAccessed>2019</b:YearAccessed>
    <b:MonthAccessed>06</b:MonthAccessed>
    <b:DayAccessed>18</b:DayAccessed>
    <b:URL>https://www.ey.com/Publication/vwLUAssets/EY_Worldwide_Corporate_Tax_Guide_2018/%24File/EY-2018-worldwide-corporate-tax-guide.pdf</b:URL>
    <b:LCID>en-US</b:LCID>
    <b:Version>Mendeley</b:Version>
    <b:RefOrder>30</b:RefOrder>
  </b:Source>
  <b:Source>
    <b:Tag>Bra14</b:Tag>
    <b:SourceType>JournalArticle</b:SourceType>
    <b:Guid>{879DDFE0-E460-48C1-A1D3-DF525CA0E608}</b:Guid>
    <b:Title>Taxes, Tax Administrative Burdens and New Firm Formation</b:Title>
    <b:Year>2014</b:Year>
    <b:DOI>http://dx.doi.org/10.1111/kykl.12040  </b:DOI>
    <b:Author>
      <b:Author>
        <b:NameList>
          <b:Person>
            <b:Last>Braunerhjelm</b:Last>
            <b:First>Pontus </b:First>
          </b:Person>
          <b:Person>
            <b:Last>Eklund</b:Last>
            <b:First>Johan E</b:First>
          </b:Person>
        </b:NameList>
      </b:Author>
    </b:Author>
    <b:JournalName>Kyklos</b:JournalName>
    <b:Pages>pp. 1-11</b:Pages>
    <b:Volume>67</b:Volume>
    <b:Issue>1</b:Issue>
    <b:RefOrder>11</b:RefOrder>
  </b:Source>
  <b:Source>
    <b:Tag>Jaf13</b:Tag>
    <b:SourceType>ArticleInAPeriodical</b:SourceType>
    <b:Guid>{6F2015A9-06C8-437C-9603-45C1BDE3D8C9}</b:Guid>
    <b:Title>Azerbaijan may extend tax benefits for agricultural producers</b:Title>
    <b:Year>2013</b:Year>
    <b:PeriodicalTitle>Azernews</b:PeriodicalTitle>
    <b:URL>https://www.azernews.az/nation/61087.html</b:URL>
    <b:Author>
      <b:Author>
        <b:NameList>
          <b:Person>
            <b:Last>Jafarova</b:Last>
            <b:First>Aynur</b:First>
          </b:Person>
        </b:NameList>
      </b:Author>
    </b:Author>
    <b:RefOrder>31</b:RefOrder>
  </b:Source>
  <b:Source>
    <b:Tag>Gov16</b:Tag>
    <b:SourceType>Book</b:SourceType>
    <b:Guid>{B1B903FC-D1C5-4FA0-8A20-3B5A1C8844F8}</b:Guid>
    <b:Author>
      <b:Author>
        <b:Corporate>Gov. of Moldova</b:Corporate>
      </b:Author>
    </b:Author>
    <b:Title>National Strategy for investment Attraction and export Promotion 2016-2020. Annex 1 to the Decision on the Governemtn of the Republic of Moldova</b:Title>
    <b:Year>2016</b:Year>
    <b:Publisher>Governement of Moldova</b:Publisher>
    <b:RefOrder>32</b:RefOrder>
  </b:Source>
  <b:Source>
    <b:Tag>Bol18</b:Tag>
    <b:SourceType>JournalArticle</b:SourceType>
    <b:Guid>{69C199CF-C729-4B86-9230-0AEC5ADB9842}</b:Guid>
    <b:Title>Peculiarities of the “Estonian” Tax Model in Taxation System of Georgia</b:Title>
    <b:JournalName>European Journal of Interdisciplinary Studies</b:JournalName>
    <b:Year>2018</b:Year>
    <b:Volume>4</b:Volume>
    <b:Issue>2 (May-August)</b:Issue>
    <b:URL>http://journals.euser.org/files/articles/ejis_v4_i2_18/Besik.pdf</b:URL>
    <b:DOI>ISSN 2411-4138</b:DOI>
    <b:Author>
      <b:Author>
        <b:NameList>
          <b:Person>
            <b:Last>Bolkvadze</b:Last>
            <b:First>Besik </b:First>
          </b:Person>
        </b:NameList>
      </b:Author>
    </b:Author>
    <b:RefOrder>33</b:RefOrder>
  </b:Source>
  <b:Source>
    <b:Tag>Haz09</b:Tag>
    <b:SourceType>JournalArticle</b:SourceType>
    <b:Guid>{5150C7C4-52A3-47F2-AFF8-6FF0E9E83639}</b:Guid>
    <b:Title>Companies' Financial Decisions Under the Distributed Profit Taxation Regime of Estonia</b:Title>
    <b:JournalName>Emerging Markets Finance and Trade</b:JournalName>
    <b:Year>2009</b:Year>
    <b:Volume>45</b:Volume>
    <b:Issue>4</b:Issue>
    <b:URL>https://doi.org/10.2753/REE1540-496X450401</b:URL>
    <b:DOI>10.2753/REE1540-496X450401</b:DOI>
    <b:Author>
      <b:Author>
        <b:NameList>
          <b:Person>
            <b:Last>Hazak</b:Last>
            <b:First>Aaro</b:First>
          </b:Person>
        </b:NameList>
      </b:Author>
    </b:Author>
    <b:RefOrder>34</b:RefOrder>
  </b:Source>
  <b:Source>
    <b:Tag>Sta14</b:Tag>
    <b:SourceType>JournalArticle</b:SourceType>
    <b:Guid>{82707012-8AA2-4A34-BCDA-A535ABEE4D76}</b:Guid>
    <b:Title>Corporate Income Taxation in Estonia. Is It Time to Abandon Dividend Taxation?</b:Title>
    <b:JournalName>Tallin University of Technology Economic Research Series</b:JournalName>
    <b:Year>2014</b:Year>
    <b:Issue>TUTECON Research Brief No. RB-2014/1</b:Issue>
    <b:URL>https://pdfs.semanticscholar.org/e57a/4775d909657dbf075120f3d06e31c413653b.pdf</b:URL>
    <b:Author>
      <b:Author>
        <b:NameList>
          <b:Person>
            <b:Last>Staehr</b:Last>
            <b:First>Karsten</b:First>
          </b:Person>
        </b:NameList>
      </b:Author>
    </b:Author>
    <b:RefOrder>8</b:RefOrder>
  </b:Source>
  <b:Source>
    <b:Tag>IRE19</b:Tag>
    <b:SourceType>Book</b:SourceType>
    <b:Guid>{CF41837B-78A4-4E6B-B6DC-BD57C94911BC}</b:Guid>
    <b:Author>
      <b:Author>
        <b:Corporate>IRENA</b:Corporate>
      </b:Author>
    </b:Author>
    <b:Title>Renewables Readiness Assessment: Republic of Moldova</b:Title>
    <b:Year>2019</b:Year>
    <b:Publisher>International Renewable Energy Agency</b:Publisher>
    <b:City>Abu Dhabi</b:City>
    <b:RefOrder>21</b:RefOrder>
  </b:Source>
  <b:Source>
    <b:Tag>DeM03</b:Tag>
    <b:SourceType>JournalArticle</b:SourceType>
    <b:Guid>{438AC7BC-1621-4A46-A052-C5F45200FDCD}</b:Guid>
    <b:Author>
      <b:Author>
        <b:NameList>
          <b:Person>
            <b:Last>De Mooij</b:Last>
            <b:First>R.A</b:First>
          </b:Person>
          <b:Person>
            <b:Last>Ederveen</b:Last>
            <b:First>S</b:First>
          </b:Person>
        </b:NameList>
      </b:Author>
    </b:Author>
    <b:Title>Taxation and foreign direct investment: a synthesis of empirical research</b:Title>
    <b:Year>2003</b:Year>
    <b:Volume>10</b:Volume>
    <b:JournalName>International Tax and Public Finance</b:JournalName>
    <b:Pages>673–693</b:Pages>
    <b:RefOrder>35</b:RefOrder>
  </b:Source>
  <b:Source>
    <b:Tag>Kle12</b:Tag>
    <b:SourceType>JournalArticle</b:SourceType>
    <b:Guid>{5F8AC5E7-EB61-49BE-BD2A-C7B2C3AAF110}</b:Guid>
    <b:Title>Empirical evidence on the effects of tax incentives</b:Title>
    <b:JournalName>Int Tax Public Finance</b:JournalName>
    <b:Year>2012</b:Year>
    <b:Pages>393–423</b:Pages>
    <b:Volume>19</b:Volume>
    <b:DOI>10.1007/s10797-011-9194-8</b:DOI>
    <b:Author>
      <b:Author>
        <b:NameList>
          <b:Person>
            <b:Last>Klemm</b:Last>
            <b:First>Alexander</b:First>
          </b:Person>
          <b:Person>
            <b:Last>Van Parys</b:Last>
            <b:First>Stefan</b:First>
          </b:Person>
        </b:NameList>
      </b:Author>
    </b:Author>
    <b:RefOrder>36</b:RefOrder>
  </b:Source>
  <b:Source>
    <b:Tag>Abb13</b:Tag>
    <b:SourceType>JournalArticle</b:SourceType>
    <b:Guid>{1E93E089-652F-426D-B829-D925206226AB}</b:Guid>
    <b:Title>A partial race to the bottom: corporate tax developments in emerging and developing economies</b:Title>
    <b:JournalName>Int Tax Public Finance</b:JournalName>
    <b:Year>2013</b:Year>
    <b:Pages>596–617</b:Pages>
    <b:Volume>20</b:Volume>
    <b:DOI>10.1007/s10797-013-9286-8</b:DOI>
    <b:Author>
      <b:Author>
        <b:NameList>
          <b:Person>
            <b:Last>Abbas</b:Last>
            <b:First>S.M.A.</b:First>
          </b:Person>
          <b:Person>
            <b:Last>Klemm</b:Last>
            <b:First>Alexander</b:First>
          </b:Person>
        </b:NameList>
      </b:Author>
    </b:Author>
    <b:RefOrder>37</b:RefOrder>
  </b:Source>
  <b:Source>
    <b:Tag>UNCng</b:Tag>
    <b:SourceType>Book</b:SourceType>
    <b:Guid>{5EABCF06-16CA-4AEB-86A8-1B5F5A2A8762}</b:Guid>
    <b:Author>
      <b:Author>
        <b:Corporate>UNCTAD</b:Corporate>
      </b:Author>
      <b:Editor>
        <b:NameList>
          <b:Person>
            <b:Last>UNCTAD</b:Last>
          </b:Person>
        </b:NameList>
      </b:Editor>
    </b:Author>
    <b:Year>2019</b:Year>
    <b:Title>Investment Policy Review Armenia</b:Title>
    <b:RefOrder>2</b:RefOrder>
  </b:Source>
</b:Sources>
</file>

<file path=customXml/itemProps1.xml><?xml version="1.0" encoding="utf-8"?>
<ds:datastoreItem xmlns:ds="http://schemas.openxmlformats.org/officeDocument/2006/customXml" ds:itemID="{4283200C-B224-44AB-A4AE-F082C363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439f5b02-3b33-475e-b1dd-2befeeb2508a"/>
    <ds:schemaRef ds:uri="0fdfc921-f221-4763-9e31-81f120c7cd17"/>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C997D-F17E-4E32-A18B-D5399686DB92}">
  <ds:schemaRefs>
    <ds:schemaRef ds:uri="http://www.oecd.org/eshare/projectsentre/CtFieldPriority/"/>
    <ds:schemaRef ds:uri="http://schemas.microsoft.com/2003/10/Serialization/Arrays"/>
  </ds:schemaRefs>
</ds:datastoreItem>
</file>

<file path=customXml/itemProps3.xml><?xml version="1.0" encoding="utf-8"?>
<ds:datastoreItem xmlns:ds="http://schemas.openxmlformats.org/officeDocument/2006/customXml" ds:itemID="{0A4D1BC5-EAEA-4DF0-AC71-1EB6A3DB7B97}">
  <ds:schemaRefs>
    <ds:schemaRef ds:uri="Microsoft.SharePoint.Taxonomy.ContentTypeSync"/>
  </ds:schemaRefs>
</ds:datastoreItem>
</file>

<file path=customXml/itemProps4.xml><?xml version="1.0" encoding="utf-8"?>
<ds:datastoreItem xmlns:ds="http://schemas.openxmlformats.org/officeDocument/2006/customXml" ds:itemID="{7CA793F1-39C6-4B5B-8769-77FFEBB92856}">
  <ds:schemaRefs>
    <ds:schemaRef ds:uri="http://schemas.microsoft.com/office/2006/metadata/properties"/>
    <ds:schemaRef ds:uri="54c4cd27-f286-408f-9ce0-33c1e0f3ab39"/>
    <ds:schemaRef ds:uri="http://schemas.microsoft.com/sharepoint/v4"/>
    <ds:schemaRef ds:uri="http://purl.org/dc/terms/"/>
    <ds:schemaRef ds:uri="http://schemas.openxmlformats.org/package/2006/metadata/core-properties"/>
    <ds:schemaRef ds:uri="439f5b02-3b33-475e-b1dd-2befeeb2508a"/>
    <ds:schemaRef ds:uri="http://schemas.microsoft.com/office/2006/documentManagement/types"/>
    <ds:schemaRef ds:uri="http://schemas.microsoft.com/office/infopath/2007/PartnerControls"/>
    <ds:schemaRef ds:uri="0fdfc921-f221-4763-9e31-81f120c7cd17"/>
    <ds:schemaRef ds:uri="ca82dde9-3436-4d3d-bddd-d31447390034"/>
    <ds:schemaRef ds:uri="http://purl.org/dc/elements/1.1/"/>
    <ds:schemaRef ds:uri="c9f238dd-bb73-4aef-a7a5-d644ad823e52"/>
    <ds:schemaRef ds:uri="http://www.w3.org/XML/1998/namespace"/>
    <ds:schemaRef ds:uri="http://purl.org/dc/dcmitype/"/>
  </ds:schemaRefs>
</ds:datastoreItem>
</file>

<file path=customXml/itemProps5.xml><?xml version="1.0" encoding="utf-8"?>
<ds:datastoreItem xmlns:ds="http://schemas.openxmlformats.org/officeDocument/2006/customXml" ds:itemID="{911185D8-AF7C-4BCD-BA9C-D57A57181A04}">
  <ds:schemaRefs>
    <ds:schemaRef ds:uri="http://schemas.microsoft.com/sharepoint/v3/contenttype/forms"/>
  </ds:schemaRefs>
</ds:datastoreItem>
</file>

<file path=customXml/itemProps6.xml><?xml version="1.0" encoding="utf-8"?>
<ds:datastoreItem xmlns:ds="http://schemas.openxmlformats.org/officeDocument/2006/customXml" ds:itemID="{4945215B-B129-4097-A327-77A6502B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Author.dotx</Template>
  <TotalTime>21</TotalTime>
  <Pages>79</Pages>
  <Words>33961</Words>
  <Characters>193578</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Investment Perspectives in Eastern Partner Countries</vt:lpstr>
    </vt:vector>
  </TitlesOfParts>
  <Company>OECD</Company>
  <LinksUpToDate>false</LinksUpToDate>
  <CharactersWithSpaces>227085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Perspectives in Eastern Partner Countries</dc:title>
  <dc:subject/>
  <dc:creator>MANTOVANI Iris</dc:creator>
  <cp:keywords>DOCUMENT CODE</cp:keywords>
  <dc:description/>
  <cp:lastModifiedBy>QUADBECK Daniel, SGE/GRS/EURASIA</cp:lastModifiedBy>
  <cp:revision>9</cp:revision>
  <cp:lastPrinted>2020-01-30T09:42:00Z</cp:lastPrinted>
  <dcterms:created xsi:type="dcterms:W3CDTF">2020-04-30T11:51:00Z</dcterms:created>
  <dcterms:modified xsi:type="dcterms:W3CDTF">2020-04-30T12:51:00Z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2.01</vt:lpwstr>
  </property>
  <property fmtid="{D5CDD505-2E9C-101B-9397-08002B2CF9AE}" pid="3" name="OECDTemplateVersionOriginal">
    <vt:lpwstr>2.01</vt:lpwstr>
  </property>
  <property fmtid="{D5CDD505-2E9C-101B-9397-08002B2CF9AE}" pid="4" name="OECDTemplateName">
    <vt:lpwstr>ONE Author.dotx</vt:lpwstr>
  </property>
  <property fmtid="{D5CDD505-2E9C-101B-9397-08002B2CF9AE}" pid="5" name="OECDTemplateLocation">
    <vt:lpwstr>W:\Office2016\Workgroup Templates</vt:lpwstr>
  </property>
  <property fmtid="{D5CDD505-2E9C-101B-9397-08002B2CF9AE}" pid="6" name="ContentTypeId">
    <vt:lpwstr>0x0101008B4DD370EC31429186F3AD49F0D3098F00D44DBCB9EB4F45278CB5C9765BE5299500A4858B360C6A491AA753F8BCA47AA91000ECB31D9D4640A04A9E1A2D0868FC2086</vt:lpwstr>
  </property>
  <property fmtid="{D5CDD505-2E9C-101B-9397-08002B2CF9AE}" pid="7" name="OECDCountry">
    <vt:lpwstr/>
  </property>
  <property fmtid="{D5CDD505-2E9C-101B-9397-08002B2CF9AE}" pid="8" name="OECDTopic">
    <vt:lpwstr>157;#Communication|b6d08927-5cc0-4def-9251-71b61748d1ac;#193;#Investment|2fd49a89-47e2-4cec-86d7-41b8bdf154e2</vt:lpwstr>
  </property>
  <property fmtid="{D5CDD505-2E9C-101B-9397-08002B2CF9AE}" pid="9" name="OECDHorizontalProjects">
    <vt:lpwstr/>
  </property>
  <property fmtid="{D5CDD505-2E9C-101B-9397-08002B2CF9AE}" pid="10" name="OECDProjectOwnerStructure">
    <vt:lpwstr>80;#SGE/GRS/EURASIA|43d0a903-1d43-474e-90b3-a06bc1c5cd83</vt:lpwstr>
  </property>
  <property fmtid="{D5CDD505-2E9C-101B-9397-08002B2CF9AE}" pid="11" name="OECDCommittee">
    <vt:lpwstr/>
  </property>
  <property fmtid="{D5CDD505-2E9C-101B-9397-08002B2CF9AE}" pid="12" name="OECDPWB">
    <vt:lpwstr>988;#2017-18|ffda23c2-cd1b-45cc-b3f4-67b12010cc58</vt:lpwstr>
  </property>
  <property fmtid="{D5CDD505-2E9C-101B-9397-08002B2CF9AE}" pid="13" name="OECDKeywords">
    <vt:lpwstr/>
  </property>
  <property fmtid="{D5CDD505-2E9C-101B-9397-08002B2CF9AE}" pid="14" name="eShareOrganisationTaxHTField0">
    <vt:lpwstr/>
  </property>
  <property fmtid="{D5CDD505-2E9C-101B-9397-08002B2CF9AE}" pid="15" name="OECDOrganisation">
    <vt:lpwstr/>
  </property>
  <property fmtid="{D5CDD505-2E9C-101B-9397-08002B2CF9AE}" pid="16" name="_dlc_DocIdItemGuid">
    <vt:lpwstr>e36103c8-5589-4b9f-b9bb-b064d7b97eca</vt:lpwstr>
  </property>
  <property fmtid="{D5CDD505-2E9C-101B-9397-08002B2CF9AE}" pid="17" name="d0b6f6ac229144c2899590f0436d9385">
    <vt:lpwstr/>
  </property>
  <property fmtid="{D5CDD505-2E9C-101B-9397-08002B2CF9AE}" pid="18" name="OECDProject">
    <vt:lpwstr/>
  </property>
</Properties>
</file>